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4F0" w14:textId="77777777" w:rsidR="00E23824" w:rsidRPr="008079FE" w:rsidRDefault="00E23824">
      <w:pPr>
        <w:jc w:val="center"/>
        <w:rPr>
          <w:sz w:val="20"/>
          <w:lang w:val="en-GB"/>
        </w:rPr>
      </w:pPr>
      <w:r w:rsidRPr="008079FE">
        <w:rPr>
          <w:sz w:val="20"/>
          <w:lang w:val="en-GB"/>
        </w:rPr>
        <w:t>Public</w:t>
      </w:r>
      <w:r w:rsidR="00F274BD" w:rsidRPr="008079FE">
        <w:rPr>
          <w:sz w:val="20"/>
          <w:lang w:val="en-GB"/>
        </w:rPr>
        <w:t xml:space="preserve"> </w:t>
      </w:r>
      <w:r w:rsidRPr="008079FE">
        <w:rPr>
          <w:sz w:val="20"/>
          <w:lang w:val="en-GB"/>
        </w:rPr>
        <w:t>document</w:t>
      </w:r>
      <w:r w:rsidR="00F274BD" w:rsidRPr="008079FE">
        <w:rPr>
          <w:sz w:val="20"/>
          <w:lang w:val="en-GB"/>
        </w:rPr>
        <w:t xml:space="preserve"> </w:t>
      </w:r>
      <w:r w:rsidRPr="008079FE">
        <w:rPr>
          <w:sz w:val="20"/>
          <w:lang w:val="en-GB"/>
        </w:rPr>
        <w:t xml:space="preserve">to be completed by the </w:t>
      </w:r>
      <w:r w:rsidR="00EC6129" w:rsidRPr="008079FE">
        <w:rPr>
          <w:sz w:val="20"/>
          <w:lang w:val="en-GB"/>
        </w:rPr>
        <w:t>Project partner</w:t>
      </w:r>
      <w:r w:rsidR="0088725C" w:rsidRPr="008079FE">
        <w:rPr>
          <w:sz w:val="20"/>
          <w:lang w:val="en-GB"/>
        </w:rPr>
        <w:t xml:space="preserve"> </w:t>
      </w:r>
      <w:r w:rsidR="00371CF7" w:rsidRPr="008079FE">
        <w:rPr>
          <w:sz w:val="20"/>
          <w:lang w:val="en-GB"/>
        </w:rPr>
        <w:t xml:space="preserve"> </w:t>
      </w:r>
    </w:p>
    <w:p w14:paraId="15DCD3EE" w14:textId="77777777" w:rsidR="001F2CF9" w:rsidRPr="008079FE" w:rsidRDefault="001F2CF9">
      <w:pPr>
        <w:jc w:val="center"/>
        <w:rPr>
          <w:sz w:val="20"/>
          <w:lang w:val="en-GB"/>
        </w:rPr>
      </w:pPr>
    </w:p>
    <w:p w14:paraId="537E58DD" w14:textId="77777777" w:rsidR="007C7F91" w:rsidRPr="008079FE" w:rsidRDefault="007C7F91">
      <w:pPr>
        <w:jc w:val="center"/>
        <w:rPr>
          <w:sz w:val="20"/>
          <w:lang w:val="en-GB"/>
        </w:rPr>
      </w:pPr>
    </w:p>
    <w:p w14:paraId="3123F705" w14:textId="77777777" w:rsidR="00E23824" w:rsidRPr="008079FE" w:rsidRDefault="00E23824" w:rsidP="0088725C">
      <w:pPr>
        <w:jc w:val="center"/>
        <w:rPr>
          <w:b/>
          <w:sz w:val="28"/>
          <w:lang w:val="en-GB"/>
        </w:rPr>
      </w:pPr>
      <w:r w:rsidRPr="008079FE">
        <w:rPr>
          <w:b/>
          <w:sz w:val="28"/>
          <w:lang w:val="en-GB"/>
        </w:rPr>
        <w:t xml:space="preserve">SUPPLY </w:t>
      </w:r>
      <w:r w:rsidR="008A6648" w:rsidRPr="008079FE">
        <w:rPr>
          <w:b/>
          <w:sz w:val="28"/>
          <w:lang w:val="en-GB"/>
        </w:rPr>
        <w:t>CONTRACT NOTICE</w:t>
      </w:r>
    </w:p>
    <w:p w14:paraId="4BC84166" w14:textId="406A329C" w:rsidR="001F2CF9" w:rsidRPr="008079FE" w:rsidRDefault="00E23824" w:rsidP="00880082">
      <w:pPr>
        <w:spacing w:after="240"/>
        <w:rPr>
          <w:rStyle w:val="Strong"/>
          <w:szCs w:val="24"/>
          <w:lang w:val="en-GB"/>
        </w:rPr>
      </w:pPr>
      <w:r w:rsidRPr="008079FE">
        <w:rPr>
          <w:rStyle w:val="Strong"/>
          <w:szCs w:val="24"/>
          <w:lang w:val="en-GB"/>
        </w:rPr>
        <w:t>Contract title</w:t>
      </w:r>
      <w:r w:rsidR="00880082" w:rsidRPr="008079FE">
        <w:rPr>
          <w:rStyle w:val="Strong"/>
          <w:szCs w:val="24"/>
          <w:lang w:val="en-GB"/>
        </w:rPr>
        <w:t xml:space="preserve">: </w:t>
      </w:r>
      <w:r w:rsidR="0049408B" w:rsidRPr="008079FE">
        <w:rPr>
          <w:rStyle w:val="Strong"/>
          <w:szCs w:val="24"/>
          <w:lang w:val="en-GB"/>
        </w:rPr>
        <w:t>Public procurement for</w:t>
      </w:r>
      <w:r w:rsidR="0049408B" w:rsidRPr="008079FE">
        <w:rPr>
          <w:szCs w:val="24"/>
          <w:lang w:val="en-GB"/>
        </w:rPr>
        <w:t xml:space="preserve"> </w:t>
      </w:r>
      <w:r w:rsidR="0049408B" w:rsidRPr="008079FE">
        <w:rPr>
          <w:rStyle w:val="Strong"/>
          <w:szCs w:val="24"/>
          <w:lang w:val="en-GB"/>
        </w:rPr>
        <w:t>emergency medical vehicle and medical equipment</w:t>
      </w:r>
    </w:p>
    <w:p w14:paraId="5C81C3F0" w14:textId="688C5409" w:rsidR="001F2CF9" w:rsidRPr="008079FE" w:rsidRDefault="001F2CF9" w:rsidP="00880082">
      <w:pPr>
        <w:spacing w:after="240"/>
        <w:rPr>
          <w:rStyle w:val="Strong"/>
          <w:szCs w:val="24"/>
          <w:lang w:val="en-GB"/>
        </w:rPr>
      </w:pPr>
      <w:r w:rsidRPr="008079FE">
        <w:rPr>
          <w:rStyle w:val="Strong"/>
          <w:szCs w:val="24"/>
          <w:lang w:val="en-GB"/>
        </w:rPr>
        <w:t>Ref. number</w:t>
      </w:r>
      <w:r w:rsidR="00880082" w:rsidRPr="008079FE">
        <w:rPr>
          <w:rStyle w:val="Strong"/>
          <w:szCs w:val="24"/>
          <w:lang w:val="en-GB"/>
        </w:rPr>
        <w:t xml:space="preserve">: </w:t>
      </w:r>
      <w:bookmarkStart w:id="0" w:name="_Hlk209961740"/>
      <w:r w:rsidR="00880082" w:rsidRPr="008079FE">
        <w:rPr>
          <w:szCs w:val="24"/>
          <w:lang w:val="en-GB"/>
        </w:rPr>
        <w:t>HR-RS00084 -07</w:t>
      </w:r>
      <w:bookmarkEnd w:id="0"/>
    </w:p>
    <w:p w14:paraId="2A159EC6" w14:textId="014AB861" w:rsidR="00E23824" w:rsidRPr="008079FE" w:rsidRDefault="00E23824" w:rsidP="00880082">
      <w:pPr>
        <w:spacing w:after="600"/>
        <w:rPr>
          <w:rStyle w:val="Strong"/>
          <w:szCs w:val="24"/>
          <w:lang w:val="en-GB"/>
        </w:rPr>
      </w:pPr>
      <w:r w:rsidRPr="008079FE">
        <w:rPr>
          <w:rStyle w:val="Strong"/>
          <w:szCs w:val="24"/>
          <w:lang w:val="en-GB"/>
        </w:rPr>
        <w:t>Location</w:t>
      </w:r>
      <w:r w:rsidR="00293121" w:rsidRPr="008079FE">
        <w:rPr>
          <w:rStyle w:val="Strong"/>
          <w:szCs w:val="24"/>
          <w:lang w:val="en-GB"/>
        </w:rPr>
        <w:t xml:space="preserve"> </w:t>
      </w:r>
      <w:r w:rsidR="00880082" w:rsidRPr="008079FE">
        <w:rPr>
          <w:rStyle w:val="Strong"/>
          <w:szCs w:val="24"/>
          <w:lang w:val="en-GB"/>
        </w:rPr>
        <w:t xml:space="preserve">: </w:t>
      </w:r>
      <w:r w:rsidR="00880082" w:rsidRPr="008079FE">
        <w:rPr>
          <w:b/>
          <w:szCs w:val="24"/>
          <w:lang w:val="en-GB"/>
        </w:rPr>
        <w:t>West Bačka District /Autonomous Province of Vojvodina / Serbia</w:t>
      </w:r>
    </w:p>
    <w:p w14:paraId="1671E179"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Publication reference</w:t>
      </w:r>
    </w:p>
    <w:p w14:paraId="29E391D6" w14:textId="72641C8C" w:rsidR="00EA36E6" w:rsidRPr="008079FE" w:rsidRDefault="00880082" w:rsidP="00AF3DC9">
      <w:pPr>
        <w:pStyle w:val="Blockquote"/>
        <w:tabs>
          <w:tab w:val="left" w:pos="709"/>
        </w:tabs>
        <w:ind w:left="709"/>
        <w:rPr>
          <w:sz w:val="22"/>
          <w:szCs w:val="22"/>
          <w:lang w:val="en-GB"/>
        </w:rPr>
      </w:pPr>
      <w:r w:rsidRPr="008079FE">
        <w:rPr>
          <w:sz w:val="22"/>
          <w:szCs w:val="22"/>
          <w:lang w:val="en-GB"/>
        </w:rPr>
        <w:t>HR-RS00084 -07</w:t>
      </w:r>
      <w:r w:rsidR="00293121" w:rsidRPr="008079FE">
        <w:rPr>
          <w:sz w:val="22"/>
          <w:szCs w:val="22"/>
          <w:lang w:val="en-GB"/>
        </w:rPr>
        <w:t xml:space="preserve"> </w:t>
      </w:r>
    </w:p>
    <w:p w14:paraId="1A5E7F09"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Procedure</w:t>
      </w:r>
    </w:p>
    <w:p w14:paraId="363C29E7" w14:textId="1176C625" w:rsidR="00E23824" w:rsidRPr="008079FE" w:rsidRDefault="00880082" w:rsidP="00AF3DC9">
      <w:pPr>
        <w:pStyle w:val="Blockquote"/>
        <w:tabs>
          <w:tab w:val="left" w:pos="709"/>
        </w:tabs>
        <w:ind w:left="709"/>
        <w:rPr>
          <w:sz w:val="22"/>
          <w:szCs w:val="22"/>
          <w:lang w:val="en-GB"/>
        </w:rPr>
      </w:pPr>
      <w:r w:rsidRPr="008079FE">
        <w:rPr>
          <w:sz w:val="22"/>
          <w:szCs w:val="22"/>
          <w:lang w:val="en-GB"/>
        </w:rPr>
        <w:t xml:space="preserve">Local </w:t>
      </w:r>
      <w:r w:rsidR="00E23824" w:rsidRPr="008079FE">
        <w:rPr>
          <w:sz w:val="22"/>
          <w:szCs w:val="22"/>
          <w:lang w:val="en-GB"/>
        </w:rPr>
        <w:t>Open</w:t>
      </w:r>
    </w:p>
    <w:p w14:paraId="3D204E25"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Programme</w:t>
      </w:r>
      <w:r w:rsidR="000E3C60" w:rsidRPr="008079FE">
        <w:rPr>
          <w:rStyle w:val="Strong"/>
          <w:szCs w:val="24"/>
          <w:lang w:val="en-GB"/>
        </w:rPr>
        <w:t xml:space="preserve"> title</w:t>
      </w:r>
    </w:p>
    <w:p w14:paraId="75462F4F" w14:textId="5B9119A8" w:rsidR="00C7733C" w:rsidRPr="008079FE" w:rsidRDefault="009041B8" w:rsidP="00880082">
      <w:pPr>
        <w:pStyle w:val="Blockquote"/>
        <w:tabs>
          <w:tab w:val="left" w:pos="709"/>
        </w:tabs>
        <w:ind w:left="709"/>
        <w:rPr>
          <w:sz w:val="22"/>
          <w:szCs w:val="22"/>
          <w:lang w:val="en-GB"/>
        </w:rPr>
      </w:pPr>
      <w:r w:rsidRPr="008079FE">
        <w:rPr>
          <w:sz w:val="22"/>
          <w:szCs w:val="22"/>
          <w:lang w:val="en-GB"/>
        </w:rPr>
        <w:t>I</w:t>
      </w:r>
      <w:r w:rsidR="00C7733C" w:rsidRPr="008079FE">
        <w:rPr>
          <w:sz w:val="22"/>
          <w:szCs w:val="22"/>
          <w:lang w:val="en-GB"/>
        </w:rPr>
        <w:t xml:space="preserve">nterreg VI-A IPA programme Croatia – </w:t>
      </w:r>
      <w:r w:rsidR="00BB7BC9" w:rsidRPr="008079FE">
        <w:rPr>
          <w:sz w:val="22"/>
          <w:szCs w:val="22"/>
          <w:lang w:val="en-GB"/>
        </w:rPr>
        <w:t>Serbia</w:t>
      </w:r>
    </w:p>
    <w:p w14:paraId="37D3F284"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Financing</w:t>
      </w:r>
    </w:p>
    <w:p w14:paraId="0F2DC118" w14:textId="77777777" w:rsidR="00880082" w:rsidRPr="008079FE" w:rsidRDefault="00880082" w:rsidP="00880082">
      <w:pPr>
        <w:pStyle w:val="Blockquote"/>
        <w:tabs>
          <w:tab w:val="left" w:pos="709"/>
        </w:tabs>
        <w:ind w:left="709"/>
        <w:rPr>
          <w:lang w:val="en-GB"/>
        </w:rPr>
      </w:pPr>
      <w:r w:rsidRPr="008079FE">
        <w:rPr>
          <w:lang w:val="en-GB"/>
        </w:rPr>
        <w:t>Project:</w:t>
      </w:r>
      <w:r w:rsidRPr="008079FE">
        <w:rPr>
          <w:sz w:val="22"/>
          <w:szCs w:val="22"/>
          <w:lang w:val="en-GB"/>
        </w:rPr>
        <w:t xml:space="preserve"> </w:t>
      </w:r>
      <w:r w:rsidRPr="008079FE">
        <w:rPr>
          <w:lang w:val="en-GB"/>
        </w:rPr>
        <w:t>HR-RS00084</w:t>
      </w:r>
    </w:p>
    <w:p w14:paraId="6955716F" w14:textId="27446D90" w:rsidR="00880082" w:rsidRPr="008079FE" w:rsidRDefault="00880082" w:rsidP="00880082">
      <w:pPr>
        <w:pStyle w:val="Blockquote"/>
        <w:tabs>
          <w:tab w:val="left" w:pos="709"/>
        </w:tabs>
        <w:ind w:left="709"/>
        <w:rPr>
          <w:lang w:val="en-GB"/>
        </w:rPr>
      </w:pPr>
      <w:r w:rsidRPr="008079FE">
        <w:rPr>
          <w:lang w:val="en-GB"/>
        </w:rPr>
        <w:t>Budget line: Emergency medical vehicle</w:t>
      </w:r>
    </w:p>
    <w:p w14:paraId="0DEDA69D" w14:textId="045384D8" w:rsidR="00880082" w:rsidRPr="008079FE" w:rsidRDefault="00880082" w:rsidP="00880082">
      <w:pPr>
        <w:pStyle w:val="Blockquote"/>
        <w:tabs>
          <w:tab w:val="left" w:pos="709"/>
        </w:tabs>
        <w:ind w:left="709"/>
        <w:rPr>
          <w:lang w:val="en-GB"/>
        </w:rPr>
      </w:pPr>
      <w:r w:rsidRPr="008079FE">
        <w:rPr>
          <w:lang w:val="en-GB"/>
        </w:rPr>
        <w:t>Budget line: Medical equipment in emergency medical vehicle</w:t>
      </w:r>
    </w:p>
    <w:p w14:paraId="4D12B074" w14:textId="32872114" w:rsidR="00880082" w:rsidRPr="008079FE" w:rsidRDefault="00880082" w:rsidP="00880082">
      <w:pPr>
        <w:pStyle w:val="Blockquote"/>
        <w:tabs>
          <w:tab w:val="left" w:pos="709"/>
        </w:tabs>
        <w:ind w:left="709"/>
        <w:rPr>
          <w:lang w:val="en-GB"/>
        </w:rPr>
      </w:pPr>
      <w:r w:rsidRPr="008079FE">
        <w:rPr>
          <w:lang w:val="en-GB"/>
        </w:rPr>
        <w:t>Budget line:</w:t>
      </w:r>
      <w:r w:rsidRPr="008079FE">
        <w:rPr>
          <w:sz w:val="22"/>
          <w:szCs w:val="22"/>
          <w:lang w:val="en-GB"/>
        </w:rPr>
        <w:t xml:space="preserve"> </w:t>
      </w:r>
      <w:r w:rsidRPr="008079FE">
        <w:rPr>
          <w:lang w:val="en-GB"/>
        </w:rPr>
        <w:t>Automatic external defibrillators (AED)</w:t>
      </w:r>
    </w:p>
    <w:p w14:paraId="689220F7" w14:textId="4440DDCF" w:rsidR="00BB7BC9" w:rsidRPr="008079FE" w:rsidRDefault="00880082" w:rsidP="00880082">
      <w:pPr>
        <w:pStyle w:val="Blockquote"/>
        <w:tabs>
          <w:tab w:val="left" w:pos="709"/>
        </w:tabs>
        <w:ind w:left="709"/>
        <w:rPr>
          <w:sz w:val="22"/>
          <w:szCs w:val="22"/>
          <w:lang w:val="en-GB"/>
        </w:rPr>
      </w:pPr>
      <w:r w:rsidRPr="008079FE">
        <w:rPr>
          <w:lang w:val="en-GB"/>
        </w:rPr>
        <w:t>Budget line: Mannequins</w:t>
      </w:r>
    </w:p>
    <w:p w14:paraId="29CE0A21" w14:textId="77777777" w:rsidR="00E23824" w:rsidRPr="008079FE" w:rsidRDefault="00EC6129"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Project partner</w:t>
      </w:r>
    </w:p>
    <w:p w14:paraId="28B084CC" w14:textId="77777777" w:rsidR="00880082" w:rsidRPr="008079FE" w:rsidRDefault="00880082" w:rsidP="00880082">
      <w:pPr>
        <w:pStyle w:val="Blockquote"/>
        <w:tabs>
          <w:tab w:val="left" w:pos="709"/>
        </w:tabs>
        <w:ind w:left="709"/>
        <w:rPr>
          <w:sz w:val="22"/>
          <w:szCs w:val="22"/>
          <w:lang w:val="en-GB"/>
        </w:rPr>
      </w:pPr>
      <w:r w:rsidRPr="008079FE">
        <w:rPr>
          <w:sz w:val="22"/>
          <w:szCs w:val="22"/>
          <w:lang w:val="en-GB"/>
        </w:rPr>
        <w:t xml:space="preserve">Health Center “Dr. Đorđe Lazić” Sombor, </w:t>
      </w:r>
    </w:p>
    <w:p w14:paraId="16E3522A" w14:textId="77777777" w:rsidR="00880082" w:rsidRPr="008079FE" w:rsidRDefault="00880082" w:rsidP="00880082">
      <w:pPr>
        <w:pStyle w:val="Blockquote"/>
        <w:tabs>
          <w:tab w:val="left" w:pos="709"/>
        </w:tabs>
        <w:ind w:left="709"/>
        <w:rPr>
          <w:sz w:val="22"/>
          <w:szCs w:val="22"/>
          <w:lang w:val="en-GB"/>
        </w:rPr>
      </w:pPr>
      <w:r w:rsidRPr="008079FE">
        <w:rPr>
          <w:sz w:val="22"/>
          <w:szCs w:val="22"/>
          <w:lang w:val="en-GB"/>
        </w:rPr>
        <w:t xml:space="preserve">Mirna 3, 25000 Sombor, Republic of Serbia </w:t>
      </w:r>
    </w:p>
    <w:p w14:paraId="29D3D6BF" w14:textId="77777777" w:rsidR="00880082" w:rsidRPr="008079FE" w:rsidRDefault="00880082" w:rsidP="00880082">
      <w:pPr>
        <w:pStyle w:val="Blockquote"/>
        <w:tabs>
          <w:tab w:val="left" w:pos="709"/>
        </w:tabs>
        <w:ind w:left="709"/>
        <w:rPr>
          <w:sz w:val="22"/>
          <w:szCs w:val="22"/>
          <w:lang w:val="en-GB"/>
        </w:rPr>
      </w:pPr>
      <w:r w:rsidRPr="008079FE">
        <w:rPr>
          <w:sz w:val="22"/>
          <w:szCs w:val="22"/>
          <w:lang w:val="en-GB"/>
        </w:rPr>
        <w:t>Registration No: 08906165</w:t>
      </w:r>
    </w:p>
    <w:p w14:paraId="77555912" w14:textId="3B438776" w:rsidR="00A506DB" w:rsidRPr="008079FE" w:rsidRDefault="00A506DB" w:rsidP="00AC2A69">
      <w:pPr>
        <w:tabs>
          <w:tab w:val="left" w:pos="1134"/>
        </w:tabs>
        <w:snapToGrid w:val="0"/>
        <w:spacing w:after="480"/>
        <w:ind w:left="709"/>
        <w:rPr>
          <w:rStyle w:val="Emphasis"/>
          <w:i w:val="0"/>
          <w:sz w:val="22"/>
          <w:szCs w:val="22"/>
          <w:highlight w:val="yellow"/>
          <w:lang w:val="en-GB"/>
        </w:rPr>
      </w:pPr>
    </w:p>
    <w:p w14:paraId="2046EF51" w14:textId="77777777" w:rsidR="00E23824" w:rsidRPr="008079FE" w:rsidRDefault="00E23824" w:rsidP="00C65475">
      <w:pPr>
        <w:keepNext/>
        <w:keepLines/>
        <w:widowControl/>
        <w:tabs>
          <w:tab w:val="left" w:pos="1134"/>
        </w:tabs>
        <w:snapToGrid w:val="0"/>
        <w:ind w:left="709"/>
        <w:jc w:val="center"/>
        <w:rPr>
          <w:rStyle w:val="Strong"/>
          <w:sz w:val="28"/>
          <w:szCs w:val="28"/>
          <w:lang w:val="en-GB"/>
        </w:rPr>
      </w:pPr>
      <w:r w:rsidRPr="008079FE">
        <w:rPr>
          <w:rStyle w:val="Strong"/>
          <w:sz w:val="28"/>
          <w:szCs w:val="28"/>
          <w:lang w:val="en-GB"/>
        </w:rPr>
        <w:lastRenderedPageBreak/>
        <w:t>CONTRACT SPECIFICATIONS</w:t>
      </w:r>
    </w:p>
    <w:p w14:paraId="5C57BFEE" w14:textId="77777777" w:rsidR="00E23824" w:rsidRPr="008079FE" w:rsidRDefault="00E23824" w:rsidP="00C65475">
      <w:pPr>
        <w:keepNext/>
        <w:keepLines/>
        <w:widowControl/>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 xml:space="preserve">Description of the contract </w:t>
      </w:r>
    </w:p>
    <w:p w14:paraId="33043D2F" w14:textId="1DF6CF45" w:rsidR="00880082" w:rsidRPr="008079FE" w:rsidRDefault="00880082" w:rsidP="00880082">
      <w:pPr>
        <w:pStyle w:val="Blockquote"/>
        <w:rPr>
          <w:sz w:val="22"/>
          <w:szCs w:val="22"/>
          <w:lang w:val="en-GB"/>
        </w:rPr>
      </w:pPr>
      <w:r w:rsidRPr="008079FE">
        <w:rPr>
          <w:sz w:val="22"/>
          <w:szCs w:val="22"/>
          <w:lang w:val="en-GB"/>
        </w:rPr>
        <w:t>The contract includes the procurement of ambulances and medical equipment for the work of the Health Center “Dr. Đorđe Lazić” Sombor, which includes the following: 1 (one) ambulance vehicles , equipment for ambulance</w:t>
      </w:r>
      <w:r w:rsidR="007A0250" w:rsidRPr="008079FE">
        <w:rPr>
          <w:sz w:val="22"/>
          <w:szCs w:val="22"/>
          <w:lang w:val="en-GB"/>
        </w:rPr>
        <w:t xml:space="preserve"> vehicle</w:t>
      </w:r>
      <w:r w:rsidRPr="008079FE">
        <w:rPr>
          <w:sz w:val="22"/>
          <w:szCs w:val="22"/>
          <w:lang w:val="en-GB"/>
        </w:rPr>
        <w:t xml:space="preserve"> (defibrillator, respirator, aspirator, automatic external heart massager, mobile laboratory, EKG device, video laryngoscope, ultrasound device, inhaler</w:t>
      </w:r>
      <w:r w:rsidR="007A0250" w:rsidRPr="008079FE">
        <w:rPr>
          <w:sz w:val="22"/>
          <w:szCs w:val="22"/>
          <w:lang w:val="en-GB"/>
        </w:rPr>
        <w:t xml:space="preserve"> </w:t>
      </w:r>
      <w:r w:rsidRPr="008079FE">
        <w:rPr>
          <w:sz w:val="22"/>
          <w:szCs w:val="22"/>
          <w:lang w:val="en-GB"/>
        </w:rPr>
        <w:t xml:space="preserve">with associated medical equipment), </w:t>
      </w:r>
      <w:r w:rsidR="007A0250" w:rsidRPr="008079FE">
        <w:rPr>
          <w:sz w:val="22"/>
          <w:szCs w:val="22"/>
          <w:lang w:val="en-GB"/>
        </w:rPr>
        <w:t xml:space="preserve">eleven (11) automatic external defibrillator and </w:t>
      </w:r>
      <w:r w:rsidR="00121DF3" w:rsidRPr="008079FE">
        <w:rPr>
          <w:sz w:val="22"/>
          <w:szCs w:val="22"/>
          <w:lang w:val="en-GB"/>
        </w:rPr>
        <w:t>2</w:t>
      </w:r>
      <w:r w:rsidR="007A0250" w:rsidRPr="008079FE">
        <w:rPr>
          <w:sz w:val="22"/>
          <w:szCs w:val="22"/>
          <w:lang w:val="en-GB"/>
        </w:rPr>
        <w:t xml:space="preserve"> mannequins </w:t>
      </w:r>
      <w:r w:rsidR="00543645" w:rsidRPr="008079FE">
        <w:rPr>
          <w:sz w:val="22"/>
          <w:lang w:val="en-GB"/>
        </w:rPr>
        <w:t>upper human body – advanced cardiopulmonary resuscitation (CPR) training phantom</w:t>
      </w:r>
      <w:r w:rsidR="00543645" w:rsidRPr="008079FE">
        <w:rPr>
          <w:sz w:val="22"/>
          <w:szCs w:val="22"/>
          <w:lang w:val="en-GB"/>
        </w:rPr>
        <w:t xml:space="preserve">, </w:t>
      </w:r>
      <w:r w:rsidR="00121DF3" w:rsidRPr="008079FE">
        <w:rPr>
          <w:sz w:val="22"/>
          <w:szCs w:val="22"/>
          <w:lang w:val="en-GB"/>
        </w:rPr>
        <w:t>1</w:t>
      </w:r>
      <w:r w:rsidR="00543645" w:rsidRPr="008079FE">
        <w:rPr>
          <w:sz w:val="22"/>
          <w:szCs w:val="22"/>
          <w:lang w:val="en-GB"/>
        </w:rPr>
        <w:t xml:space="preserve"> mannequins </w:t>
      </w:r>
      <w:r w:rsidR="00543645" w:rsidRPr="008079FE">
        <w:rPr>
          <w:sz w:val="22"/>
          <w:lang w:val="en-GB"/>
        </w:rPr>
        <w:t>Adult airway management training trainer.</w:t>
      </w:r>
      <w:r w:rsidR="00543645" w:rsidRPr="008079FE">
        <w:rPr>
          <w:b/>
          <w:sz w:val="22"/>
          <w:lang w:val="en-GB"/>
        </w:rPr>
        <w:t xml:space="preserve"> </w:t>
      </w:r>
    </w:p>
    <w:p w14:paraId="2D6AEE92" w14:textId="44ABF988" w:rsidR="00E23824" w:rsidRPr="008079FE" w:rsidRDefault="00E23824" w:rsidP="00A506DB">
      <w:pPr>
        <w:pStyle w:val="Blockquote"/>
        <w:ind w:left="709"/>
        <w:rPr>
          <w:sz w:val="22"/>
          <w:szCs w:val="22"/>
          <w:lang w:val="en-GB"/>
        </w:rPr>
      </w:pPr>
    </w:p>
    <w:p w14:paraId="7A4F1A19" w14:textId="77777777" w:rsidR="00E23824" w:rsidRPr="008079FE" w:rsidRDefault="00E23824" w:rsidP="00A506DB">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Number and titles of lots</w:t>
      </w:r>
    </w:p>
    <w:p w14:paraId="752ADBFD" w14:textId="77777777" w:rsidR="007A0250" w:rsidRPr="008079FE" w:rsidRDefault="007A0250" w:rsidP="007A0250">
      <w:pPr>
        <w:pStyle w:val="ListParagraph"/>
        <w:ind w:left="644"/>
        <w:outlineLvl w:val="0"/>
        <w:rPr>
          <w:rStyle w:val="Emphasis"/>
          <w:rFonts w:ascii="Times New Roman" w:hAnsi="Times New Roman"/>
          <w:i w:val="0"/>
          <w:lang w:val="en-GB"/>
        </w:rPr>
      </w:pPr>
      <w:r w:rsidRPr="008079FE">
        <w:rPr>
          <w:rStyle w:val="Emphasis"/>
          <w:rFonts w:ascii="Times New Roman" w:hAnsi="Times New Roman"/>
          <w:i w:val="0"/>
          <w:lang w:val="en-GB"/>
        </w:rPr>
        <w:t>2 (two ) lots</w:t>
      </w:r>
    </w:p>
    <w:p w14:paraId="0737AACF" w14:textId="77777777" w:rsidR="0089260B" w:rsidRPr="008079FE" w:rsidRDefault="0089260B" w:rsidP="007A0250">
      <w:pPr>
        <w:pStyle w:val="ListParagraph"/>
        <w:ind w:left="644"/>
        <w:outlineLvl w:val="0"/>
        <w:rPr>
          <w:rStyle w:val="Emphasis"/>
          <w:rFonts w:ascii="Times New Roman" w:hAnsi="Times New Roman"/>
          <w:i w:val="0"/>
          <w:lang w:val="en-GB"/>
        </w:rPr>
      </w:pPr>
    </w:p>
    <w:p w14:paraId="0846657C" w14:textId="77777777" w:rsidR="007A0250" w:rsidRPr="008079FE" w:rsidRDefault="007A0250" w:rsidP="007A0250">
      <w:pPr>
        <w:pStyle w:val="ListParagraph"/>
        <w:ind w:left="644"/>
        <w:outlineLvl w:val="0"/>
        <w:rPr>
          <w:rStyle w:val="Emphasis"/>
          <w:rFonts w:ascii="Times New Roman" w:hAnsi="Times New Roman"/>
          <w:i w:val="0"/>
          <w:lang w:val="en-GB"/>
        </w:rPr>
      </w:pPr>
      <w:r w:rsidRPr="008079FE">
        <w:rPr>
          <w:rStyle w:val="Emphasis"/>
          <w:rFonts w:ascii="Times New Roman" w:hAnsi="Times New Roman"/>
          <w:i w:val="0"/>
          <w:lang w:val="en-GB"/>
        </w:rPr>
        <w:t>Lots  Titles:</w:t>
      </w:r>
    </w:p>
    <w:p w14:paraId="073756CC" w14:textId="77777777" w:rsidR="007A0250" w:rsidRPr="008079FE" w:rsidRDefault="007A0250" w:rsidP="007A0250">
      <w:pPr>
        <w:pStyle w:val="ListParagraph"/>
        <w:ind w:left="644"/>
        <w:outlineLvl w:val="0"/>
        <w:rPr>
          <w:rStyle w:val="Emphasis"/>
          <w:rFonts w:ascii="Times New Roman" w:hAnsi="Times New Roman"/>
          <w:i w:val="0"/>
          <w:color w:val="FF0000"/>
          <w:lang w:val="en-GB"/>
        </w:rPr>
      </w:pPr>
    </w:p>
    <w:p w14:paraId="54971302" w14:textId="50D6FBF2" w:rsidR="007A0250" w:rsidRPr="008079FE" w:rsidRDefault="003C1681" w:rsidP="007A0250">
      <w:pPr>
        <w:pStyle w:val="ListParagraph"/>
        <w:ind w:left="644"/>
        <w:outlineLvl w:val="0"/>
        <w:rPr>
          <w:rStyle w:val="Emphasis"/>
          <w:rFonts w:ascii="Times New Roman" w:hAnsi="Times New Roman"/>
          <w:i w:val="0"/>
          <w:lang w:val="en-GB"/>
        </w:rPr>
      </w:pPr>
      <w:r w:rsidRPr="008079FE">
        <w:rPr>
          <w:rStyle w:val="Emphasis"/>
          <w:rFonts w:ascii="Times New Roman" w:hAnsi="Times New Roman"/>
          <w:i w:val="0"/>
          <w:lang w:val="en-GB"/>
        </w:rPr>
        <w:t>LOT</w:t>
      </w:r>
      <w:r w:rsidR="001E47B4" w:rsidRPr="008079FE">
        <w:rPr>
          <w:rStyle w:val="Emphasis"/>
          <w:rFonts w:ascii="Times New Roman" w:hAnsi="Times New Roman"/>
          <w:i w:val="0"/>
          <w:lang w:val="en-GB"/>
        </w:rPr>
        <w:t xml:space="preserve"> 1</w:t>
      </w:r>
      <w:r w:rsidRPr="008079FE">
        <w:rPr>
          <w:rStyle w:val="Emphasis"/>
          <w:rFonts w:ascii="Times New Roman" w:hAnsi="Times New Roman"/>
          <w:i w:val="0"/>
          <w:lang w:val="en-GB"/>
        </w:rPr>
        <w:t xml:space="preserve">: </w:t>
      </w:r>
      <w:r w:rsidR="007A0250" w:rsidRPr="008079FE">
        <w:rPr>
          <w:rStyle w:val="Emphasis"/>
          <w:rFonts w:ascii="Times New Roman" w:hAnsi="Times New Roman"/>
          <w:i w:val="0"/>
          <w:lang w:val="en-GB"/>
        </w:rPr>
        <w:t xml:space="preserve"> </w:t>
      </w:r>
      <w:bookmarkStart w:id="1" w:name="_Hlk209981925"/>
      <w:r w:rsidR="007A0250" w:rsidRPr="008079FE">
        <w:rPr>
          <w:rStyle w:val="Emphasis"/>
          <w:rFonts w:ascii="Times New Roman" w:hAnsi="Times New Roman"/>
          <w:i w:val="0"/>
          <w:lang w:val="en-GB"/>
        </w:rPr>
        <w:t xml:space="preserve">Ambulance vehicles with installed and attached medical equipment </w:t>
      </w:r>
      <w:bookmarkEnd w:id="1"/>
      <w:r w:rsidR="007A0250" w:rsidRPr="008079FE">
        <w:rPr>
          <w:rStyle w:val="Emphasis"/>
          <w:rFonts w:ascii="Times New Roman" w:hAnsi="Times New Roman"/>
          <w:i w:val="0"/>
          <w:lang w:val="en-GB"/>
        </w:rPr>
        <w:t xml:space="preserve">(1 (one) ambulance vehicles, equipment for ambulance vehicle (defibrillator, respirator, aspirator, automatic external heart massager, mobile laboratory, EKG device, video laryngoscope, ultrasound device, inhaler with associated medical equipment)) </w:t>
      </w:r>
    </w:p>
    <w:p w14:paraId="06E11AEF" w14:textId="77777777" w:rsidR="007A0250" w:rsidRPr="008079FE" w:rsidRDefault="007A0250" w:rsidP="007A0250">
      <w:pPr>
        <w:pStyle w:val="ListParagraph"/>
        <w:ind w:left="644"/>
        <w:outlineLvl w:val="0"/>
        <w:rPr>
          <w:rStyle w:val="Emphasis"/>
          <w:rFonts w:ascii="Times New Roman" w:hAnsi="Times New Roman"/>
          <w:i w:val="0"/>
          <w:color w:val="FF0000"/>
          <w:lang w:val="en-GB"/>
        </w:rPr>
      </w:pPr>
    </w:p>
    <w:p w14:paraId="6E298E28" w14:textId="63F695B9" w:rsidR="007A0250" w:rsidRPr="008079FE" w:rsidRDefault="003C1681" w:rsidP="00543645">
      <w:pPr>
        <w:pStyle w:val="Blockquote"/>
        <w:ind w:left="630"/>
        <w:rPr>
          <w:rStyle w:val="Emphasis"/>
          <w:i w:val="0"/>
          <w:sz w:val="22"/>
          <w:szCs w:val="22"/>
          <w:lang w:val="en-GB"/>
        </w:rPr>
      </w:pPr>
      <w:r w:rsidRPr="008079FE">
        <w:rPr>
          <w:rStyle w:val="Emphasis"/>
          <w:i w:val="0"/>
          <w:lang w:val="en-GB"/>
        </w:rPr>
        <w:t>LOT</w:t>
      </w:r>
      <w:r w:rsidR="001E47B4" w:rsidRPr="008079FE">
        <w:rPr>
          <w:rStyle w:val="Emphasis"/>
          <w:i w:val="0"/>
          <w:lang w:val="en-GB"/>
        </w:rPr>
        <w:t xml:space="preserve"> 2</w:t>
      </w:r>
      <w:r w:rsidRPr="008079FE">
        <w:rPr>
          <w:rStyle w:val="Emphasis"/>
          <w:i w:val="0"/>
          <w:lang w:val="en-GB"/>
        </w:rPr>
        <w:t xml:space="preserve">: </w:t>
      </w:r>
      <w:bookmarkStart w:id="2" w:name="_Hlk209981865"/>
      <w:r w:rsidR="007A0250" w:rsidRPr="008079FE">
        <w:rPr>
          <w:rStyle w:val="Emphasis"/>
          <w:i w:val="0"/>
          <w:sz w:val="22"/>
          <w:szCs w:val="22"/>
          <w:lang w:val="en-GB"/>
        </w:rPr>
        <w:t xml:space="preserve">Medical equipment and supply </w:t>
      </w:r>
      <w:bookmarkEnd w:id="2"/>
      <w:r w:rsidR="007A0250" w:rsidRPr="008079FE">
        <w:rPr>
          <w:rStyle w:val="Emphasis"/>
          <w:i w:val="0"/>
          <w:lang w:val="en-GB"/>
        </w:rPr>
        <w:t xml:space="preserve">(eleven (11) automatic external defibrillator and </w:t>
      </w:r>
      <w:r w:rsidR="00121DF3" w:rsidRPr="008079FE">
        <w:rPr>
          <w:sz w:val="22"/>
          <w:szCs w:val="22"/>
          <w:lang w:val="en-GB"/>
        </w:rPr>
        <w:t xml:space="preserve">2 </w:t>
      </w:r>
      <w:r w:rsidR="001E47B4" w:rsidRPr="008079FE">
        <w:rPr>
          <w:sz w:val="22"/>
          <w:szCs w:val="22"/>
          <w:lang w:val="en-GB"/>
        </w:rPr>
        <w:t>mannequins’</w:t>
      </w:r>
      <w:r w:rsidR="00543645" w:rsidRPr="008079FE">
        <w:rPr>
          <w:sz w:val="22"/>
          <w:szCs w:val="22"/>
          <w:lang w:val="en-GB"/>
        </w:rPr>
        <w:t xml:space="preserve"> </w:t>
      </w:r>
      <w:r w:rsidR="00543645" w:rsidRPr="008079FE">
        <w:rPr>
          <w:sz w:val="22"/>
          <w:lang w:val="en-GB"/>
        </w:rPr>
        <w:t>upper human body – advanced cardiopulmonary resuscitation (CPR) training phantom</w:t>
      </w:r>
      <w:r w:rsidR="00543645" w:rsidRPr="008079FE">
        <w:rPr>
          <w:sz w:val="22"/>
          <w:szCs w:val="22"/>
          <w:lang w:val="en-GB"/>
        </w:rPr>
        <w:t xml:space="preserve">, </w:t>
      </w:r>
      <w:r w:rsidR="00121DF3" w:rsidRPr="008079FE">
        <w:rPr>
          <w:sz w:val="22"/>
          <w:szCs w:val="22"/>
          <w:lang w:val="en-GB"/>
        </w:rPr>
        <w:t>1</w:t>
      </w:r>
      <w:r w:rsidR="00543645" w:rsidRPr="008079FE">
        <w:rPr>
          <w:sz w:val="22"/>
          <w:szCs w:val="22"/>
          <w:lang w:val="en-GB"/>
        </w:rPr>
        <w:t xml:space="preserve"> </w:t>
      </w:r>
      <w:r w:rsidR="001E47B4" w:rsidRPr="008079FE">
        <w:rPr>
          <w:sz w:val="22"/>
          <w:szCs w:val="22"/>
          <w:lang w:val="en-GB"/>
        </w:rPr>
        <w:t>mannequin</w:t>
      </w:r>
      <w:r w:rsidR="00543645" w:rsidRPr="008079FE">
        <w:rPr>
          <w:sz w:val="22"/>
          <w:szCs w:val="22"/>
          <w:lang w:val="en-GB"/>
        </w:rPr>
        <w:t xml:space="preserve"> </w:t>
      </w:r>
      <w:r w:rsidR="00543645" w:rsidRPr="008079FE">
        <w:rPr>
          <w:sz w:val="22"/>
          <w:lang w:val="en-GB"/>
        </w:rPr>
        <w:t>Adult airway management training trainer</w:t>
      </w:r>
      <w:r w:rsidR="007A0250" w:rsidRPr="008079FE">
        <w:rPr>
          <w:rStyle w:val="Emphasis"/>
          <w:i w:val="0"/>
          <w:lang w:val="en-GB"/>
        </w:rPr>
        <w:t>.)</w:t>
      </w:r>
    </w:p>
    <w:p w14:paraId="317F61C5" w14:textId="77777777" w:rsidR="007A0250" w:rsidRPr="008079FE" w:rsidRDefault="007A0250" w:rsidP="007A0250">
      <w:pPr>
        <w:pStyle w:val="ListParagraph"/>
        <w:ind w:left="644"/>
        <w:outlineLvl w:val="0"/>
        <w:rPr>
          <w:rStyle w:val="Emphasis"/>
          <w:rFonts w:ascii="Times New Roman" w:hAnsi="Times New Roman"/>
          <w:i w:val="0"/>
          <w:lang w:val="en-GB"/>
        </w:rPr>
      </w:pPr>
    </w:p>
    <w:p w14:paraId="3DA92438" w14:textId="77777777" w:rsidR="00E23824" w:rsidRPr="008079FE" w:rsidRDefault="00E23824" w:rsidP="0088725C">
      <w:pPr>
        <w:pStyle w:val="Blockquote"/>
        <w:spacing w:before="400"/>
        <w:ind w:left="357" w:right="0"/>
        <w:jc w:val="center"/>
        <w:rPr>
          <w:rStyle w:val="Strong"/>
          <w:sz w:val="28"/>
          <w:szCs w:val="28"/>
          <w:lang w:val="en-GB"/>
        </w:rPr>
      </w:pPr>
      <w:r w:rsidRPr="008079FE">
        <w:rPr>
          <w:rStyle w:val="Strong"/>
          <w:sz w:val="28"/>
          <w:szCs w:val="28"/>
          <w:lang w:val="en-GB"/>
        </w:rPr>
        <w:t>TERMS OF PARTICIPATION</w:t>
      </w:r>
    </w:p>
    <w:p w14:paraId="074A3945" w14:textId="7C934B7E" w:rsidR="001462B0" w:rsidRPr="008079FE" w:rsidRDefault="00E23824" w:rsidP="001462B0">
      <w:pPr>
        <w:numPr>
          <w:ilvl w:val="0"/>
          <w:numId w:val="35"/>
        </w:numPr>
        <w:tabs>
          <w:tab w:val="clear" w:pos="644"/>
          <w:tab w:val="num" w:pos="709"/>
        </w:tabs>
        <w:ind w:left="709"/>
        <w:outlineLvl w:val="0"/>
        <w:rPr>
          <w:b/>
          <w:szCs w:val="24"/>
          <w:lang w:val="en-GB"/>
        </w:rPr>
      </w:pPr>
      <w:r w:rsidRPr="008079FE">
        <w:rPr>
          <w:rStyle w:val="Strong"/>
          <w:szCs w:val="24"/>
          <w:lang w:val="en-GB"/>
        </w:rPr>
        <w:t>Eligibility and rules of origin</w:t>
      </w:r>
      <w:r w:rsidR="00AF346B" w:rsidRPr="008079FE">
        <w:rPr>
          <w:rStyle w:val="Strong"/>
          <w:szCs w:val="24"/>
          <w:lang w:val="en-GB"/>
        </w:rPr>
        <w:t xml:space="preserve"> </w:t>
      </w:r>
      <w:bookmarkStart w:id="3" w:name="_DV_M201"/>
      <w:bookmarkStart w:id="4" w:name="_Hlk507432484"/>
      <w:bookmarkEnd w:id="3"/>
    </w:p>
    <w:p w14:paraId="1A80C20E" w14:textId="6EAD37F0" w:rsidR="001462B0" w:rsidRPr="008079FE" w:rsidRDefault="001462B0" w:rsidP="00AC2A69">
      <w:pPr>
        <w:pStyle w:val="Blockquote"/>
        <w:ind w:left="709" w:right="1"/>
        <w:jc w:val="both"/>
        <w:rPr>
          <w:sz w:val="22"/>
          <w:szCs w:val="22"/>
          <w:lang w:val="en-GB"/>
        </w:rPr>
      </w:pPr>
      <w:r w:rsidRPr="008079FE">
        <w:rPr>
          <w:sz w:val="22"/>
          <w:szCs w:val="22"/>
          <w:lang w:val="en-GB"/>
        </w:rPr>
        <w:t>Participation in the award of procurement contracts and other award procedures for actions financed under the Programme is open to all legal persons which are effectively established in the participating countries, other Member States, other IPA II</w:t>
      </w:r>
      <w:r w:rsidR="00C7733C" w:rsidRPr="008079FE">
        <w:rPr>
          <w:sz w:val="22"/>
          <w:szCs w:val="22"/>
          <w:lang w:val="en-GB"/>
        </w:rPr>
        <w:t>I</w:t>
      </w:r>
      <w:r w:rsidRPr="008079FE">
        <w:rPr>
          <w:sz w:val="22"/>
          <w:szCs w:val="22"/>
          <w:lang w:val="en-GB"/>
        </w:rPr>
        <w:t xml:space="preserve"> beneficiaries, contracting parties to the Agreement on the European Economic Area and partner countries covered by the European Neighbourhood Instrument (hereafter referred to as ‘eligible countries’), and to International Organisations.</w:t>
      </w:r>
    </w:p>
    <w:p w14:paraId="28643512" w14:textId="0647E103" w:rsidR="001462B0" w:rsidRPr="008079FE" w:rsidRDefault="001462B0" w:rsidP="001462B0">
      <w:pPr>
        <w:pStyle w:val="Blockquote"/>
        <w:ind w:left="709" w:right="1"/>
        <w:jc w:val="both"/>
        <w:rPr>
          <w:sz w:val="22"/>
          <w:szCs w:val="22"/>
          <w:lang w:val="en-GB"/>
        </w:rPr>
      </w:pPr>
      <w:r w:rsidRPr="008079FE">
        <w:rPr>
          <w:sz w:val="22"/>
          <w:szCs w:val="22"/>
          <w:lang w:val="en-GB"/>
        </w:rPr>
        <w:t>All supplies purchased under a procurement contract, or in accordance with a grant agreement, financed under IPA I</w:t>
      </w:r>
      <w:r w:rsidR="00C7733C" w:rsidRPr="008079FE">
        <w:rPr>
          <w:sz w:val="22"/>
          <w:szCs w:val="22"/>
          <w:lang w:val="en-GB"/>
        </w:rPr>
        <w:t>I</w:t>
      </w:r>
      <w:r w:rsidRPr="008079FE">
        <w:rPr>
          <w:sz w:val="22"/>
          <w:szCs w:val="22"/>
          <w:lang w:val="en-GB"/>
        </w:rPr>
        <w:t>I shall originate from an eligible country or from any country which is eligible under the rules of the partner or other donor or member state or determined in the constitutive act of the trust fund.</w:t>
      </w:r>
    </w:p>
    <w:p w14:paraId="6D09EA21" w14:textId="2754BA6C" w:rsidR="001462B0" w:rsidRPr="008079FE" w:rsidRDefault="001462B0" w:rsidP="001462B0">
      <w:pPr>
        <w:pStyle w:val="Blockquote"/>
        <w:ind w:left="709" w:right="1"/>
        <w:jc w:val="both"/>
        <w:rPr>
          <w:sz w:val="22"/>
          <w:szCs w:val="22"/>
          <w:lang w:val="en-GB"/>
        </w:rPr>
      </w:pPr>
      <w:r w:rsidRPr="008079FE">
        <w:rPr>
          <w:sz w:val="22"/>
          <w:szCs w:val="22"/>
          <w:lang w:val="en-GB"/>
        </w:rPr>
        <w:lastRenderedPageBreak/>
        <w:t>As the Croatian national rules do not contain any restrictions as regards the rules of origin, all goods can originate from any country, irrespective of any thresholds.</w:t>
      </w:r>
    </w:p>
    <w:bookmarkEnd w:id="4"/>
    <w:p w14:paraId="3FA5D6A2" w14:textId="34264967" w:rsidR="00E23824" w:rsidRPr="008079FE" w:rsidRDefault="00E23824" w:rsidP="00AC2A69">
      <w:pPr>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Grounds for exclusion</w:t>
      </w:r>
    </w:p>
    <w:p w14:paraId="5827D459" w14:textId="29A28961" w:rsidR="00E23824" w:rsidRPr="008079FE" w:rsidRDefault="00E23824" w:rsidP="00AC2A69">
      <w:pPr>
        <w:pStyle w:val="Blockquote"/>
        <w:ind w:left="709" w:right="1"/>
        <w:jc w:val="both"/>
        <w:rPr>
          <w:b/>
          <w:i/>
          <w:sz w:val="22"/>
          <w:szCs w:val="22"/>
          <w:lang w:val="en-GB"/>
        </w:rPr>
      </w:pPr>
      <w:r w:rsidRPr="008079FE">
        <w:rPr>
          <w:sz w:val="22"/>
          <w:szCs w:val="22"/>
          <w:lang w:val="en-GB"/>
        </w:rPr>
        <w:t xml:space="preserve">Tenderers must </w:t>
      </w:r>
      <w:r w:rsidR="006A1583" w:rsidRPr="008079FE">
        <w:rPr>
          <w:sz w:val="22"/>
          <w:szCs w:val="22"/>
          <w:lang w:val="en-GB"/>
        </w:rPr>
        <w:t xml:space="preserve">submit a </w:t>
      </w:r>
      <w:r w:rsidR="00AF346B" w:rsidRPr="008079FE">
        <w:rPr>
          <w:sz w:val="22"/>
          <w:szCs w:val="22"/>
          <w:lang w:val="en-GB"/>
        </w:rPr>
        <w:t xml:space="preserve">signed </w:t>
      </w:r>
      <w:r w:rsidR="00DC2049" w:rsidRPr="008079FE">
        <w:rPr>
          <w:sz w:val="22"/>
          <w:szCs w:val="22"/>
          <w:lang w:val="en-GB"/>
        </w:rPr>
        <w:t xml:space="preserve">declaration, included in the Tender Form for a Supply Contract, </w:t>
      </w:r>
      <w:r w:rsidR="006A1583" w:rsidRPr="008079FE">
        <w:rPr>
          <w:sz w:val="22"/>
          <w:szCs w:val="22"/>
          <w:lang w:val="en-GB"/>
        </w:rPr>
        <w:t xml:space="preserve">to the effect </w:t>
      </w:r>
      <w:r w:rsidRPr="008079FE">
        <w:rPr>
          <w:sz w:val="22"/>
          <w:szCs w:val="22"/>
          <w:lang w:val="en-GB"/>
        </w:rPr>
        <w:t>that they are not in any of the situations listed in point 2</w:t>
      </w:r>
      <w:r w:rsidR="0081446D" w:rsidRPr="008079FE">
        <w:rPr>
          <w:sz w:val="22"/>
          <w:szCs w:val="22"/>
          <w:lang w:val="en-GB"/>
        </w:rPr>
        <w:t>.6.10.1.</w:t>
      </w:r>
      <w:r w:rsidRPr="008079FE">
        <w:rPr>
          <w:sz w:val="22"/>
          <w:szCs w:val="22"/>
          <w:lang w:val="en-GB"/>
        </w:rPr>
        <w:t xml:space="preserve"> of the Practical Guide.</w:t>
      </w:r>
    </w:p>
    <w:p w14:paraId="0B0A4FD3" w14:textId="77777777" w:rsidR="00E23824" w:rsidRPr="008079FE" w:rsidRDefault="00E23824" w:rsidP="00AC2A69">
      <w:pPr>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Number of tenders</w:t>
      </w:r>
    </w:p>
    <w:p w14:paraId="25A4FDF0" w14:textId="48CFC8F1" w:rsidR="00E23824" w:rsidRPr="008079FE" w:rsidRDefault="00E23824" w:rsidP="00AC2A69">
      <w:pPr>
        <w:pStyle w:val="Blockquote"/>
        <w:ind w:left="709" w:right="1"/>
        <w:jc w:val="both"/>
        <w:rPr>
          <w:sz w:val="22"/>
          <w:szCs w:val="22"/>
          <w:lang w:val="en-GB"/>
        </w:rPr>
      </w:pPr>
      <w:r w:rsidRPr="008079FE">
        <w:rPr>
          <w:sz w:val="22"/>
          <w:szCs w:val="22"/>
          <w:lang w:val="en-GB"/>
        </w:rPr>
        <w:t xml:space="preserve">Tenderers may submit </w:t>
      </w:r>
      <w:r w:rsidR="00071260" w:rsidRPr="008079FE">
        <w:rPr>
          <w:sz w:val="22"/>
          <w:szCs w:val="22"/>
          <w:lang w:val="en-GB"/>
        </w:rPr>
        <w:t>only one tender per lot</w:t>
      </w:r>
      <w:r w:rsidRPr="008079FE">
        <w:rPr>
          <w:sz w:val="22"/>
          <w:szCs w:val="22"/>
          <w:lang w:val="en-GB"/>
        </w:rPr>
        <w:t>. Tenders for parts of a lot will not be considered. Any tenderer may state in its tender that it would offer a discount in the event that its tender is accepted for more than one lot. Tenderers may not submit a tender for a variant solution in addition to their tender for the supplies required in the tender dossier.</w:t>
      </w:r>
    </w:p>
    <w:p w14:paraId="45AEA113" w14:textId="77777777" w:rsidR="00E23824" w:rsidRPr="008079FE" w:rsidRDefault="00E23824" w:rsidP="00AC2A69">
      <w:pPr>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Tender guarantee</w:t>
      </w:r>
    </w:p>
    <w:p w14:paraId="3B7849A4" w14:textId="343D51D7" w:rsidR="00DC2049" w:rsidRPr="008079FE" w:rsidRDefault="0007206C" w:rsidP="00AC2A69">
      <w:pPr>
        <w:pStyle w:val="Blockquote"/>
        <w:ind w:left="709" w:right="1"/>
        <w:jc w:val="both"/>
        <w:rPr>
          <w:sz w:val="22"/>
          <w:szCs w:val="22"/>
          <w:lang w:val="en-GB"/>
        </w:rPr>
      </w:pPr>
      <w:r w:rsidRPr="008079FE">
        <w:rPr>
          <w:sz w:val="22"/>
          <w:szCs w:val="22"/>
          <w:lang w:val="en-GB"/>
        </w:rPr>
        <w:t>No tender guarantee is required.</w:t>
      </w:r>
    </w:p>
    <w:p w14:paraId="10ADEF80" w14:textId="77777777" w:rsidR="00E23824" w:rsidRPr="008079FE" w:rsidRDefault="00E23824" w:rsidP="00AC2A69">
      <w:pPr>
        <w:keepNext/>
        <w:keepLines/>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Performance guarantee</w:t>
      </w:r>
    </w:p>
    <w:p w14:paraId="38D51128" w14:textId="2721A347" w:rsidR="00BB7BC9" w:rsidRPr="008079FE" w:rsidRDefault="00252841" w:rsidP="003C1681">
      <w:pPr>
        <w:pStyle w:val="Blockquote"/>
        <w:spacing w:after="120"/>
        <w:ind w:left="709" w:right="1"/>
        <w:jc w:val="both"/>
        <w:rPr>
          <w:color w:val="000000"/>
          <w:sz w:val="22"/>
          <w:szCs w:val="22"/>
          <w:lang w:val="en-GB"/>
        </w:rPr>
      </w:pPr>
      <w:r w:rsidRPr="008079FE">
        <w:rPr>
          <w:color w:val="000000"/>
          <w:sz w:val="22"/>
          <w:szCs w:val="22"/>
          <w:lang w:val="en-GB"/>
        </w:rPr>
        <w:t xml:space="preserve"> </w:t>
      </w:r>
      <w:r w:rsidR="00E23824" w:rsidRPr="008079FE">
        <w:rPr>
          <w:color w:val="000000"/>
          <w:sz w:val="22"/>
          <w:szCs w:val="22"/>
          <w:lang w:val="en-GB"/>
        </w:rPr>
        <w:t>The successful tenderer will be asked to provide a performance guarantee of</w:t>
      </w:r>
      <w:r w:rsidR="00E23824" w:rsidRPr="008079FE">
        <w:rPr>
          <w:b/>
          <w:bCs/>
          <w:sz w:val="22"/>
          <w:szCs w:val="22"/>
          <w:lang w:val="en-GB"/>
        </w:rPr>
        <w:t xml:space="preserve"> </w:t>
      </w:r>
      <w:r w:rsidR="0043250C" w:rsidRPr="008079FE">
        <w:rPr>
          <w:b/>
          <w:bCs/>
          <w:sz w:val="22"/>
          <w:szCs w:val="22"/>
          <w:lang w:val="en-GB"/>
        </w:rPr>
        <w:t xml:space="preserve">5 </w:t>
      </w:r>
      <w:r w:rsidR="00E23824" w:rsidRPr="008079FE">
        <w:rPr>
          <w:b/>
          <w:bCs/>
          <w:sz w:val="22"/>
          <w:szCs w:val="22"/>
          <w:lang w:val="en-GB"/>
        </w:rPr>
        <w:t>%</w:t>
      </w:r>
      <w:r w:rsidR="00E23824" w:rsidRPr="008079FE">
        <w:rPr>
          <w:sz w:val="22"/>
          <w:szCs w:val="22"/>
          <w:lang w:val="en-GB"/>
        </w:rPr>
        <w:t xml:space="preserve"> </w:t>
      </w:r>
      <w:r w:rsidR="00E23824" w:rsidRPr="008079FE">
        <w:rPr>
          <w:color w:val="000000"/>
          <w:sz w:val="22"/>
          <w:szCs w:val="22"/>
          <w:lang w:val="en-GB"/>
        </w:rPr>
        <w:t xml:space="preserve">of the amount of the contract at the signing of the contract. This guarantee must be provided </w:t>
      </w:r>
      <w:r w:rsidR="00A04F2C" w:rsidRPr="008079FE">
        <w:rPr>
          <w:color w:val="000000"/>
          <w:sz w:val="22"/>
          <w:szCs w:val="22"/>
          <w:lang w:val="en-GB"/>
        </w:rPr>
        <w:t xml:space="preserve">together with the return of the countersigned contract </w:t>
      </w:r>
      <w:r w:rsidR="00E23824" w:rsidRPr="008079FE">
        <w:rPr>
          <w:color w:val="000000"/>
          <w:sz w:val="22"/>
          <w:szCs w:val="22"/>
          <w:lang w:val="en-GB"/>
        </w:rPr>
        <w:t xml:space="preserve">no later than 30 days after the tenderer receives the contract signed by the </w:t>
      </w:r>
      <w:r w:rsidR="00EC6129" w:rsidRPr="008079FE">
        <w:rPr>
          <w:color w:val="000000"/>
          <w:sz w:val="22"/>
          <w:szCs w:val="22"/>
          <w:lang w:val="en-GB"/>
        </w:rPr>
        <w:t>Project partner</w:t>
      </w:r>
      <w:r w:rsidR="00E23824" w:rsidRPr="008079FE">
        <w:rPr>
          <w:color w:val="000000"/>
          <w:sz w:val="22"/>
          <w:szCs w:val="22"/>
          <w:lang w:val="en-GB"/>
        </w:rPr>
        <w:t xml:space="preserve">. If the selected tenderer fails to provide such a guarantee within this period, the contract will be void and a new contract may be drawn up and sent to the tenderer which has submitted the next </w:t>
      </w:r>
      <w:r w:rsidR="00065477" w:rsidRPr="008079FE">
        <w:rPr>
          <w:color w:val="000000"/>
          <w:sz w:val="22"/>
          <w:szCs w:val="22"/>
          <w:lang w:val="en-GB"/>
        </w:rPr>
        <w:t xml:space="preserve">cheapest </w:t>
      </w:r>
      <w:r w:rsidR="00E23824" w:rsidRPr="008079FE">
        <w:rPr>
          <w:color w:val="000000"/>
          <w:sz w:val="22"/>
          <w:szCs w:val="22"/>
          <w:lang w:val="en-GB"/>
        </w:rPr>
        <w:t>compliant tender.</w:t>
      </w:r>
    </w:p>
    <w:p w14:paraId="60FFFCFA" w14:textId="77777777" w:rsidR="00BB7BC9" w:rsidRPr="008079FE" w:rsidRDefault="00BB7BC9" w:rsidP="00AC2A69">
      <w:pPr>
        <w:spacing w:before="0" w:after="120"/>
        <w:ind w:left="709" w:right="1"/>
        <w:jc w:val="both"/>
        <w:rPr>
          <w:color w:val="000000"/>
          <w:sz w:val="22"/>
          <w:szCs w:val="22"/>
          <w:lang w:val="en-GB"/>
        </w:rPr>
      </w:pPr>
    </w:p>
    <w:p w14:paraId="1AD3685B"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Information meeting and/or site visit</w:t>
      </w:r>
    </w:p>
    <w:p w14:paraId="3B5733AA" w14:textId="01379C25" w:rsidR="00E23824" w:rsidRPr="008079FE" w:rsidRDefault="00E23824" w:rsidP="00AF3DC9">
      <w:pPr>
        <w:pStyle w:val="Blockquote"/>
        <w:ind w:left="709"/>
        <w:rPr>
          <w:sz w:val="22"/>
          <w:szCs w:val="22"/>
          <w:lang w:val="en-GB"/>
        </w:rPr>
      </w:pPr>
      <w:r w:rsidRPr="008079FE">
        <w:rPr>
          <w:sz w:val="22"/>
          <w:szCs w:val="22"/>
          <w:lang w:val="en-GB"/>
        </w:rPr>
        <w:t>No information meeting is planned</w:t>
      </w:r>
      <w:r w:rsidR="000853AF" w:rsidRPr="008079FE">
        <w:rPr>
          <w:sz w:val="22"/>
          <w:szCs w:val="22"/>
          <w:lang w:val="en-GB"/>
        </w:rPr>
        <w:t>.</w:t>
      </w:r>
    </w:p>
    <w:p w14:paraId="12338975"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Tender validity</w:t>
      </w:r>
    </w:p>
    <w:p w14:paraId="5E2CFF2E" w14:textId="77777777" w:rsidR="00E23824" w:rsidRPr="008079FE" w:rsidRDefault="00E23824" w:rsidP="00AC2A69">
      <w:pPr>
        <w:pStyle w:val="Blockquote"/>
        <w:ind w:left="709" w:right="1"/>
        <w:jc w:val="both"/>
        <w:rPr>
          <w:sz w:val="22"/>
          <w:szCs w:val="22"/>
          <w:lang w:val="en-GB"/>
        </w:rPr>
      </w:pPr>
      <w:r w:rsidRPr="008079FE">
        <w:rPr>
          <w:sz w:val="22"/>
          <w:szCs w:val="22"/>
          <w:lang w:val="en-GB"/>
        </w:rPr>
        <w:t>Tenders must remain valid for a period of 90 days after the deadline for submission of tenders.</w:t>
      </w:r>
      <w:r w:rsidR="007A042A" w:rsidRPr="008079FE">
        <w:rPr>
          <w:sz w:val="22"/>
          <w:szCs w:val="22"/>
          <w:lang w:val="en-GB"/>
        </w:rPr>
        <w:t xml:space="preserve"> </w:t>
      </w:r>
      <w:r w:rsidR="0003151B" w:rsidRPr="008079FE">
        <w:rPr>
          <w:sz w:val="22"/>
          <w:szCs w:val="22"/>
          <w:lang w:val="en-GB"/>
        </w:rPr>
        <w:t xml:space="preserve">In exceptional circumstances, the </w:t>
      </w:r>
      <w:r w:rsidR="00EC6129" w:rsidRPr="008079FE">
        <w:rPr>
          <w:sz w:val="22"/>
          <w:szCs w:val="22"/>
          <w:lang w:val="en-GB"/>
        </w:rPr>
        <w:t>Project partner</w:t>
      </w:r>
      <w:r w:rsidR="0003151B" w:rsidRPr="008079FE">
        <w:rPr>
          <w:sz w:val="22"/>
          <w:szCs w:val="22"/>
          <w:lang w:val="en-GB"/>
        </w:rPr>
        <w:t xml:space="preserve"> may, before the validity period expires, request that tenderers extend the validity of tenders for a specific period (see para 8.2 of the instructions to tenderers).</w:t>
      </w:r>
    </w:p>
    <w:p w14:paraId="7F4671F5"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t xml:space="preserve">Period of </w:t>
      </w:r>
      <w:r w:rsidR="00AF46E5" w:rsidRPr="008079FE">
        <w:rPr>
          <w:rStyle w:val="Strong"/>
          <w:szCs w:val="24"/>
          <w:lang w:val="en-GB"/>
        </w:rPr>
        <w:t xml:space="preserve">implementation </w:t>
      </w:r>
      <w:r w:rsidR="00065477" w:rsidRPr="008079FE">
        <w:rPr>
          <w:rStyle w:val="Strong"/>
          <w:szCs w:val="24"/>
          <w:lang w:val="en-GB"/>
        </w:rPr>
        <w:t>of tasks</w:t>
      </w:r>
    </w:p>
    <w:p w14:paraId="51ADC3CA" w14:textId="4D016A94" w:rsidR="003C1681" w:rsidRPr="008E0FA0" w:rsidRDefault="003C1681" w:rsidP="003C1681">
      <w:pPr>
        <w:pStyle w:val="Blockquote"/>
        <w:ind w:left="644" w:right="1"/>
        <w:jc w:val="both"/>
        <w:rPr>
          <w:sz w:val="22"/>
          <w:szCs w:val="22"/>
          <w:lang w:val="en-GB"/>
        </w:rPr>
      </w:pPr>
      <w:r w:rsidRPr="008E0FA0">
        <w:rPr>
          <w:rStyle w:val="Emphasis"/>
          <w:i w:val="0"/>
          <w:lang w:val="en-GB"/>
        </w:rPr>
        <w:t>LOT</w:t>
      </w:r>
      <w:r w:rsidR="001E47B4" w:rsidRPr="008E0FA0">
        <w:rPr>
          <w:rStyle w:val="Emphasis"/>
          <w:i w:val="0"/>
          <w:lang w:val="en-GB"/>
        </w:rPr>
        <w:t xml:space="preserve"> 1</w:t>
      </w:r>
      <w:r w:rsidRPr="008E0FA0">
        <w:rPr>
          <w:rStyle w:val="Emphasis"/>
          <w:i w:val="0"/>
          <w:lang w:val="en-GB"/>
        </w:rPr>
        <w:t xml:space="preserve">: </w:t>
      </w:r>
      <w:r w:rsidRPr="008E0FA0">
        <w:rPr>
          <w:rStyle w:val="Emphasis"/>
          <w:i w:val="0"/>
          <w:sz w:val="22"/>
          <w:szCs w:val="22"/>
          <w:lang w:val="en-GB"/>
        </w:rPr>
        <w:t xml:space="preserve"> Ambulance vehicles with installed and attached medical equipment</w:t>
      </w:r>
      <w:r w:rsidRPr="008E0FA0">
        <w:rPr>
          <w:sz w:val="22"/>
          <w:szCs w:val="22"/>
          <w:lang w:val="en-GB"/>
        </w:rPr>
        <w:t xml:space="preserve"> – 110 days </w:t>
      </w:r>
    </w:p>
    <w:p w14:paraId="123D067C" w14:textId="426BE9A4" w:rsidR="003C1681" w:rsidRPr="008E0FA0" w:rsidRDefault="003C1681" w:rsidP="003C1681">
      <w:pPr>
        <w:pStyle w:val="ListParagraph"/>
        <w:ind w:left="644"/>
        <w:outlineLvl w:val="0"/>
        <w:rPr>
          <w:rFonts w:ascii="Times New Roman" w:hAnsi="Times New Roman"/>
          <w:lang w:val="en-GB"/>
        </w:rPr>
      </w:pPr>
      <w:r w:rsidRPr="008E0FA0">
        <w:rPr>
          <w:rStyle w:val="Emphasis"/>
          <w:rFonts w:ascii="Times New Roman" w:hAnsi="Times New Roman"/>
          <w:i w:val="0"/>
          <w:lang w:val="en-GB"/>
        </w:rPr>
        <w:t>LOT</w:t>
      </w:r>
      <w:r w:rsidR="001E47B4" w:rsidRPr="008E0FA0">
        <w:rPr>
          <w:rStyle w:val="Emphasis"/>
          <w:rFonts w:ascii="Times New Roman" w:hAnsi="Times New Roman"/>
          <w:i w:val="0"/>
          <w:lang w:val="en-GB"/>
        </w:rPr>
        <w:t xml:space="preserve"> 2</w:t>
      </w:r>
      <w:r w:rsidRPr="008E0FA0">
        <w:rPr>
          <w:rStyle w:val="Emphasis"/>
          <w:rFonts w:ascii="Times New Roman" w:hAnsi="Times New Roman"/>
          <w:i w:val="0"/>
          <w:lang w:val="en-GB"/>
        </w:rPr>
        <w:t xml:space="preserve">: Medical equipment and supply </w:t>
      </w:r>
      <w:r w:rsidRPr="008E0FA0">
        <w:rPr>
          <w:rFonts w:ascii="Times New Roman" w:hAnsi="Times New Roman"/>
          <w:lang w:val="en-GB"/>
        </w:rPr>
        <w:t xml:space="preserve">– </w:t>
      </w:r>
      <w:r w:rsidR="008079FE" w:rsidRPr="008E0FA0">
        <w:rPr>
          <w:rFonts w:ascii="Times New Roman" w:hAnsi="Times New Roman"/>
          <w:lang w:val="en-GB"/>
        </w:rPr>
        <w:t>6</w:t>
      </w:r>
      <w:r w:rsidRPr="008E0FA0">
        <w:rPr>
          <w:rFonts w:ascii="Times New Roman" w:hAnsi="Times New Roman"/>
          <w:lang w:val="en-GB"/>
        </w:rPr>
        <w:t>0 days</w:t>
      </w:r>
      <w:r w:rsidRPr="008E0FA0">
        <w:rPr>
          <w:lang w:val="en-GB"/>
        </w:rPr>
        <w:t xml:space="preserve">  </w:t>
      </w:r>
    </w:p>
    <w:p w14:paraId="3A687F04" w14:textId="77777777" w:rsidR="00E23824" w:rsidRPr="008079FE" w:rsidRDefault="00E23824">
      <w:pPr>
        <w:rPr>
          <w:lang w:val="en-GB"/>
        </w:rPr>
      </w:pPr>
    </w:p>
    <w:p w14:paraId="55DD880E" w14:textId="77777777" w:rsidR="00E23824" w:rsidRPr="008079FE" w:rsidRDefault="00E23824">
      <w:pPr>
        <w:ind w:left="360"/>
        <w:jc w:val="center"/>
        <w:rPr>
          <w:rStyle w:val="Strong"/>
          <w:sz w:val="28"/>
          <w:szCs w:val="28"/>
          <w:lang w:val="en-GB"/>
        </w:rPr>
      </w:pPr>
      <w:r w:rsidRPr="008079FE">
        <w:rPr>
          <w:rStyle w:val="Strong"/>
          <w:sz w:val="28"/>
          <w:szCs w:val="28"/>
          <w:lang w:val="en-GB"/>
        </w:rPr>
        <w:t>SELECTION AND AWARD CRITERIA</w:t>
      </w:r>
    </w:p>
    <w:p w14:paraId="2EB9657E" w14:textId="77777777" w:rsidR="00E23824" w:rsidRPr="008079FE" w:rsidRDefault="00E23824" w:rsidP="00AF3DC9">
      <w:pPr>
        <w:numPr>
          <w:ilvl w:val="0"/>
          <w:numId w:val="35"/>
        </w:numPr>
        <w:tabs>
          <w:tab w:val="clear" w:pos="644"/>
          <w:tab w:val="num" w:pos="709"/>
        </w:tabs>
        <w:ind w:left="709" w:hanging="425"/>
        <w:outlineLvl w:val="0"/>
        <w:rPr>
          <w:rStyle w:val="Strong"/>
          <w:szCs w:val="24"/>
          <w:lang w:val="en-GB"/>
        </w:rPr>
      </w:pPr>
      <w:r w:rsidRPr="008079FE">
        <w:rPr>
          <w:rStyle w:val="Strong"/>
          <w:szCs w:val="24"/>
          <w:lang w:val="en-GB"/>
        </w:rPr>
        <w:lastRenderedPageBreak/>
        <w:t>Selection criteria</w:t>
      </w:r>
      <w:r w:rsidR="002A5E19" w:rsidRPr="008079FE">
        <w:rPr>
          <w:rStyle w:val="Strong"/>
          <w:szCs w:val="24"/>
          <w:lang w:val="en-GB"/>
        </w:rPr>
        <w:t xml:space="preserve"> </w:t>
      </w:r>
    </w:p>
    <w:p w14:paraId="2A3A1E8C" w14:textId="0EF48116" w:rsidR="005B13FB" w:rsidRPr="008079FE" w:rsidRDefault="005B13FB" w:rsidP="00AF3DC9">
      <w:pPr>
        <w:pStyle w:val="Blockquote"/>
        <w:ind w:left="709"/>
        <w:jc w:val="both"/>
        <w:rPr>
          <w:sz w:val="22"/>
          <w:szCs w:val="22"/>
          <w:lang w:val="en-GB"/>
        </w:rPr>
      </w:pPr>
      <w:r w:rsidRPr="008079FE">
        <w:rPr>
          <w:sz w:val="22"/>
          <w:szCs w:val="22"/>
          <w:lang w:val="en-GB"/>
        </w:rPr>
        <w:t>The following selection criteria will be applied to tenderers.</w:t>
      </w:r>
      <w:r w:rsidR="00F274BD" w:rsidRPr="008079FE">
        <w:rPr>
          <w:sz w:val="22"/>
          <w:szCs w:val="22"/>
          <w:lang w:val="en-GB"/>
        </w:rPr>
        <w:t xml:space="preserve"> </w:t>
      </w:r>
      <w:r w:rsidRPr="008079FE">
        <w:rPr>
          <w:sz w:val="22"/>
          <w:szCs w:val="22"/>
          <w:lang w:val="en-GB"/>
        </w:rPr>
        <w:t>In the case of tenders submitted by a consortium, these selection criteria will be applied to the consortium as a whole</w:t>
      </w:r>
      <w:r w:rsidR="000739E4" w:rsidRPr="008079FE">
        <w:rPr>
          <w:lang w:val="en-GB"/>
        </w:rPr>
        <w:t xml:space="preserve"> </w:t>
      </w:r>
      <w:r w:rsidR="008D6E19" w:rsidRPr="008079FE">
        <w:rPr>
          <w:lang w:val="en-GB"/>
        </w:rPr>
        <w:t>unless</w:t>
      </w:r>
      <w:r w:rsidR="000739E4" w:rsidRPr="008079FE">
        <w:rPr>
          <w:sz w:val="22"/>
          <w:szCs w:val="22"/>
          <w:lang w:val="en-GB"/>
        </w:rPr>
        <w:t xml:space="preserve"> specified otherwise</w:t>
      </w:r>
      <w:r w:rsidR="008A3391" w:rsidRPr="008079FE">
        <w:rPr>
          <w:sz w:val="22"/>
          <w:szCs w:val="22"/>
          <w:lang w:val="en-GB"/>
        </w:rPr>
        <w:t>. The selection criteria will not be applied to natural persons and single-member companies when they are sub-contractors</w:t>
      </w:r>
      <w:r w:rsidRPr="008079FE">
        <w:rPr>
          <w:sz w:val="22"/>
          <w:szCs w:val="22"/>
          <w:lang w:val="en-GB"/>
        </w:rPr>
        <w:t>:</w:t>
      </w:r>
    </w:p>
    <w:p w14:paraId="12B2ACFE" w14:textId="77777777" w:rsidR="00D4238C" w:rsidRPr="008079FE" w:rsidRDefault="0088725C" w:rsidP="00D4238C">
      <w:pPr>
        <w:pStyle w:val="Blockquote"/>
        <w:ind w:left="1134" w:right="357" w:hanging="284"/>
        <w:jc w:val="both"/>
        <w:rPr>
          <w:sz w:val="22"/>
          <w:szCs w:val="22"/>
          <w:lang w:val="en-GB"/>
        </w:rPr>
      </w:pPr>
      <w:r w:rsidRPr="008079FE">
        <w:rPr>
          <w:sz w:val="22"/>
          <w:szCs w:val="22"/>
          <w:lang w:val="en-GB"/>
        </w:rPr>
        <w:t>1)</w:t>
      </w:r>
      <w:r w:rsidRPr="008079FE">
        <w:rPr>
          <w:sz w:val="22"/>
          <w:szCs w:val="22"/>
          <w:lang w:val="en-GB"/>
        </w:rPr>
        <w:tab/>
      </w:r>
      <w:r w:rsidR="005B13FB" w:rsidRPr="008079FE">
        <w:rPr>
          <w:sz w:val="22"/>
          <w:szCs w:val="22"/>
          <w:lang w:val="en-GB"/>
        </w:rPr>
        <w:t xml:space="preserve">Economic and financial </w:t>
      </w:r>
      <w:r w:rsidR="00EA5A37" w:rsidRPr="008079FE">
        <w:rPr>
          <w:sz w:val="22"/>
          <w:szCs w:val="22"/>
          <w:lang w:val="en-GB"/>
        </w:rPr>
        <w:t>capacity</w:t>
      </w:r>
      <w:r w:rsidR="005B13FB" w:rsidRPr="008079FE">
        <w:rPr>
          <w:sz w:val="22"/>
          <w:szCs w:val="22"/>
          <w:lang w:val="en-GB"/>
        </w:rPr>
        <w:t xml:space="preserve"> of </w:t>
      </w:r>
      <w:r w:rsidR="00EA5A37" w:rsidRPr="008079FE">
        <w:rPr>
          <w:sz w:val="22"/>
          <w:szCs w:val="22"/>
          <w:lang w:val="en-GB"/>
        </w:rPr>
        <w:t>tenderer</w:t>
      </w:r>
      <w:r w:rsidR="005B13FB" w:rsidRPr="008079FE">
        <w:rPr>
          <w:i/>
          <w:sz w:val="22"/>
          <w:szCs w:val="22"/>
          <w:lang w:val="en-GB"/>
        </w:rPr>
        <w:t xml:space="preserve"> </w:t>
      </w:r>
      <w:r w:rsidR="00021ECF" w:rsidRPr="008079FE">
        <w:rPr>
          <w:sz w:val="22"/>
          <w:szCs w:val="22"/>
          <w:lang w:val="en-GB"/>
        </w:rPr>
        <w:t>(</w:t>
      </w:r>
      <w:r w:rsidR="005B13FB" w:rsidRPr="008079FE">
        <w:rPr>
          <w:sz w:val="22"/>
          <w:szCs w:val="22"/>
          <w:lang w:val="en-GB"/>
        </w:rPr>
        <w:t xml:space="preserve">based on </w:t>
      </w:r>
      <w:r w:rsidR="00A77260" w:rsidRPr="008079FE">
        <w:rPr>
          <w:sz w:val="22"/>
          <w:szCs w:val="22"/>
          <w:lang w:val="en-GB"/>
        </w:rPr>
        <w:t>i.a.</w:t>
      </w:r>
      <w:r w:rsidR="00286429" w:rsidRPr="008079FE">
        <w:rPr>
          <w:sz w:val="22"/>
          <w:szCs w:val="22"/>
          <w:lang w:val="en-GB"/>
        </w:rPr>
        <w:t xml:space="preserve"> </w:t>
      </w:r>
      <w:r w:rsidR="005B13FB" w:rsidRPr="008079FE">
        <w:rPr>
          <w:sz w:val="22"/>
          <w:szCs w:val="22"/>
          <w:lang w:val="en-GB"/>
        </w:rPr>
        <w:t xml:space="preserve">item 3 of the </w:t>
      </w:r>
      <w:r w:rsidR="00A77260" w:rsidRPr="008079FE">
        <w:rPr>
          <w:sz w:val="22"/>
          <w:szCs w:val="22"/>
          <w:lang w:val="en-GB"/>
        </w:rPr>
        <w:t>Tender Form for a Supply Contract</w:t>
      </w:r>
      <w:r w:rsidR="00021ECF" w:rsidRPr="008079FE">
        <w:rPr>
          <w:sz w:val="22"/>
          <w:szCs w:val="22"/>
          <w:lang w:val="en-GB"/>
        </w:rPr>
        <w:t>)</w:t>
      </w:r>
      <w:r w:rsidR="003479A1" w:rsidRPr="008079FE">
        <w:rPr>
          <w:sz w:val="22"/>
          <w:szCs w:val="22"/>
          <w:lang w:val="en-GB"/>
        </w:rPr>
        <w:t xml:space="preserve">. In case of </w:t>
      </w:r>
      <w:r w:rsidR="005067DE" w:rsidRPr="008079FE">
        <w:rPr>
          <w:sz w:val="22"/>
          <w:szCs w:val="22"/>
          <w:lang w:val="en-GB"/>
        </w:rPr>
        <w:t>tenderer</w:t>
      </w:r>
      <w:r w:rsidR="003479A1" w:rsidRPr="008079FE">
        <w:rPr>
          <w:sz w:val="22"/>
          <w:szCs w:val="22"/>
          <w:lang w:val="en-GB"/>
        </w:rPr>
        <w:t xml:space="preserve"> being a public body, equivalent information should be provided.</w:t>
      </w:r>
      <w:r w:rsidR="00D4238C" w:rsidRPr="008079FE">
        <w:rPr>
          <w:sz w:val="22"/>
          <w:szCs w:val="22"/>
          <w:lang w:val="en-GB"/>
        </w:rPr>
        <w:t xml:space="preserve"> The reference period which will be taken into account will be the last three years for which accounts have been closed.</w:t>
      </w:r>
    </w:p>
    <w:p w14:paraId="3D3F838C" w14:textId="77777777" w:rsidR="00E42B59" w:rsidRPr="008079FE" w:rsidRDefault="00E42B59" w:rsidP="00E42B59">
      <w:pPr>
        <w:pStyle w:val="Blockquote"/>
        <w:ind w:left="1134" w:right="1" w:hanging="284"/>
        <w:jc w:val="both"/>
        <w:rPr>
          <w:sz w:val="22"/>
          <w:szCs w:val="22"/>
          <w:lang w:val="en-GB"/>
        </w:rPr>
      </w:pPr>
      <w:r w:rsidRPr="008079FE">
        <w:rPr>
          <w:sz w:val="22"/>
          <w:szCs w:val="22"/>
          <w:lang w:val="en-GB"/>
        </w:rPr>
        <w:t>The selection criteria for each tenderer are as follows:</w:t>
      </w:r>
    </w:p>
    <w:p w14:paraId="48A66867" w14:textId="5093FE07" w:rsidR="00E42B59" w:rsidRPr="008079FE" w:rsidRDefault="00E42B59" w:rsidP="00E42B59">
      <w:pPr>
        <w:pStyle w:val="Blockquote"/>
        <w:ind w:left="1134" w:right="1" w:hanging="284"/>
        <w:rPr>
          <w:sz w:val="22"/>
          <w:szCs w:val="22"/>
          <w:lang w:val="en-GB"/>
        </w:rPr>
      </w:pPr>
      <w:r w:rsidRPr="008079FE">
        <w:rPr>
          <w:sz w:val="22"/>
          <w:szCs w:val="22"/>
          <w:lang w:val="en-GB"/>
        </w:rPr>
        <w:t>Lot</w:t>
      </w:r>
      <w:r w:rsidR="001E47B4" w:rsidRPr="008079FE">
        <w:rPr>
          <w:sz w:val="22"/>
          <w:szCs w:val="22"/>
          <w:lang w:val="en-GB"/>
        </w:rPr>
        <w:t xml:space="preserve"> </w:t>
      </w:r>
      <w:r w:rsidRPr="008079FE">
        <w:rPr>
          <w:sz w:val="22"/>
          <w:szCs w:val="22"/>
          <w:lang w:val="en-GB"/>
        </w:rPr>
        <w:t xml:space="preserve">1 </w:t>
      </w:r>
    </w:p>
    <w:p w14:paraId="33000964" w14:textId="31CEF8AC" w:rsidR="00E42B59" w:rsidRPr="008079FE" w:rsidRDefault="00E42B59" w:rsidP="00E42B59">
      <w:pPr>
        <w:pStyle w:val="Blockquote"/>
        <w:ind w:left="1134" w:right="1" w:hanging="284"/>
        <w:rPr>
          <w:sz w:val="22"/>
          <w:szCs w:val="22"/>
          <w:lang w:val="en-GB"/>
        </w:rPr>
      </w:pPr>
      <w:r w:rsidRPr="008079FE">
        <w:rPr>
          <w:sz w:val="22"/>
          <w:szCs w:val="22"/>
          <w:lang w:val="en-GB"/>
        </w:rPr>
        <w:t>The selection criteria for tenderers to Lot1 are as follows:</w:t>
      </w:r>
    </w:p>
    <w:p w14:paraId="2375103B" w14:textId="58852F27" w:rsidR="00E42B59" w:rsidRPr="008079FE" w:rsidRDefault="00E42B59" w:rsidP="00E42B59">
      <w:pPr>
        <w:pStyle w:val="Blockquote"/>
        <w:numPr>
          <w:ilvl w:val="0"/>
          <w:numId w:val="46"/>
        </w:numPr>
        <w:ind w:left="1080" w:right="1"/>
        <w:jc w:val="both"/>
        <w:rPr>
          <w:sz w:val="22"/>
          <w:szCs w:val="22"/>
          <w:lang w:val="en-GB"/>
        </w:rPr>
      </w:pPr>
      <w:r w:rsidRPr="008079FE">
        <w:rPr>
          <w:sz w:val="22"/>
          <w:szCs w:val="22"/>
          <w:lang w:val="en-GB"/>
        </w:rPr>
        <w:t xml:space="preserve">the average annual turnover of the tenderer in the past 3 years must be the same or higher than the tenderer financial offer for Lot 1 </w:t>
      </w:r>
    </w:p>
    <w:p w14:paraId="5CFC652C" w14:textId="50AE7A3B" w:rsidR="00E42B59" w:rsidRPr="008079FE" w:rsidRDefault="00E42B59" w:rsidP="00E42B59">
      <w:pPr>
        <w:pStyle w:val="Blockquote"/>
        <w:ind w:left="1134" w:right="1" w:hanging="284"/>
        <w:rPr>
          <w:sz w:val="22"/>
          <w:szCs w:val="22"/>
          <w:lang w:val="en-GB"/>
        </w:rPr>
      </w:pPr>
      <w:r w:rsidRPr="008079FE">
        <w:rPr>
          <w:sz w:val="22"/>
          <w:szCs w:val="22"/>
          <w:lang w:val="en-GB"/>
        </w:rPr>
        <w:t xml:space="preserve">Lot 2 </w:t>
      </w:r>
    </w:p>
    <w:p w14:paraId="59C23C99" w14:textId="5C169348" w:rsidR="00E42B59" w:rsidRPr="008079FE" w:rsidRDefault="00E42B59" w:rsidP="00E42B59">
      <w:pPr>
        <w:pStyle w:val="Blockquote"/>
        <w:ind w:left="1134" w:right="1" w:hanging="284"/>
        <w:rPr>
          <w:sz w:val="22"/>
          <w:szCs w:val="22"/>
          <w:lang w:val="en-GB"/>
        </w:rPr>
      </w:pPr>
      <w:r w:rsidRPr="008079FE">
        <w:rPr>
          <w:sz w:val="22"/>
          <w:szCs w:val="22"/>
          <w:lang w:val="en-GB"/>
        </w:rPr>
        <w:t>The selection criteria for tenderers to Lot 2 are as follows:</w:t>
      </w:r>
    </w:p>
    <w:p w14:paraId="0B9B9DD7" w14:textId="086ED87E" w:rsidR="00E42B59" w:rsidRPr="008079FE" w:rsidRDefault="00E42B59" w:rsidP="00E42B59">
      <w:pPr>
        <w:pStyle w:val="Blockquote"/>
        <w:numPr>
          <w:ilvl w:val="0"/>
          <w:numId w:val="46"/>
        </w:numPr>
        <w:ind w:left="1080" w:right="1"/>
        <w:jc w:val="both"/>
        <w:rPr>
          <w:sz w:val="22"/>
          <w:szCs w:val="22"/>
          <w:lang w:val="en-GB"/>
        </w:rPr>
      </w:pPr>
      <w:r w:rsidRPr="008079FE">
        <w:rPr>
          <w:sz w:val="22"/>
          <w:szCs w:val="22"/>
          <w:lang w:val="en-GB"/>
        </w:rPr>
        <w:t xml:space="preserve">the average annual turnover of the tenderer in the past 3 years must be the same or higher than the tenderer financial offer for Lot 2 </w:t>
      </w:r>
    </w:p>
    <w:p w14:paraId="021AAE3F" w14:textId="70421E23" w:rsidR="005B13FB" w:rsidRPr="008079FE" w:rsidRDefault="0088725C" w:rsidP="00AC2A69">
      <w:pPr>
        <w:pStyle w:val="Blockquote"/>
        <w:ind w:left="1134" w:right="1" w:hanging="284"/>
        <w:jc w:val="both"/>
        <w:rPr>
          <w:sz w:val="22"/>
          <w:szCs w:val="22"/>
          <w:lang w:val="en-GB"/>
        </w:rPr>
      </w:pPr>
      <w:r w:rsidRPr="008079FE">
        <w:rPr>
          <w:sz w:val="22"/>
          <w:szCs w:val="22"/>
          <w:lang w:val="en-GB"/>
        </w:rPr>
        <w:t>2)</w:t>
      </w:r>
      <w:r w:rsidRPr="008079FE">
        <w:rPr>
          <w:sz w:val="22"/>
          <w:szCs w:val="22"/>
          <w:lang w:val="en-GB"/>
        </w:rPr>
        <w:tab/>
      </w:r>
      <w:r w:rsidR="005B13FB" w:rsidRPr="008079FE">
        <w:rPr>
          <w:sz w:val="22"/>
          <w:szCs w:val="22"/>
          <w:lang w:val="en-GB"/>
        </w:rPr>
        <w:t xml:space="preserve">Professional capacity of </w:t>
      </w:r>
      <w:r w:rsidR="00A77260" w:rsidRPr="008079FE">
        <w:rPr>
          <w:sz w:val="22"/>
          <w:szCs w:val="22"/>
          <w:lang w:val="en-GB"/>
        </w:rPr>
        <w:t>tenderer</w:t>
      </w:r>
      <w:r w:rsidR="005B13FB" w:rsidRPr="008079FE">
        <w:rPr>
          <w:sz w:val="22"/>
          <w:szCs w:val="22"/>
          <w:lang w:val="en-GB"/>
        </w:rPr>
        <w:t xml:space="preserve"> </w:t>
      </w:r>
      <w:r w:rsidR="00021ECF" w:rsidRPr="008079FE">
        <w:rPr>
          <w:sz w:val="22"/>
          <w:szCs w:val="22"/>
          <w:lang w:val="en-GB"/>
        </w:rPr>
        <w:t>(</w:t>
      </w:r>
      <w:r w:rsidR="005B13FB" w:rsidRPr="008079FE">
        <w:rPr>
          <w:sz w:val="22"/>
          <w:szCs w:val="22"/>
          <w:lang w:val="en-GB"/>
        </w:rPr>
        <w:t xml:space="preserve">based on </w:t>
      </w:r>
      <w:r w:rsidR="00A77260" w:rsidRPr="008079FE">
        <w:rPr>
          <w:sz w:val="22"/>
          <w:szCs w:val="22"/>
          <w:lang w:val="en-GB"/>
        </w:rPr>
        <w:t>i.a.</w:t>
      </w:r>
      <w:r w:rsidR="00021ECF" w:rsidRPr="008079FE">
        <w:rPr>
          <w:sz w:val="22"/>
          <w:szCs w:val="22"/>
          <w:lang w:val="en-GB"/>
        </w:rPr>
        <w:t xml:space="preserve"> </w:t>
      </w:r>
      <w:r w:rsidR="005B13FB" w:rsidRPr="008079FE">
        <w:rPr>
          <w:sz w:val="22"/>
          <w:szCs w:val="22"/>
          <w:lang w:val="en-GB"/>
        </w:rPr>
        <w:t xml:space="preserve">items 4 and 5 of the </w:t>
      </w:r>
      <w:r w:rsidR="00A77260" w:rsidRPr="008079FE">
        <w:rPr>
          <w:sz w:val="22"/>
          <w:szCs w:val="22"/>
          <w:lang w:val="en-GB"/>
        </w:rPr>
        <w:t>Tender Form for a Supply Contract</w:t>
      </w:r>
      <w:r w:rsidR="00021ECF" w:rsidRPr="008079FE">
        <w:rPr>
          <w:sz w:val="22"/>
          <w:szCs w:val="22"/>
          <w:lang w:val="en-GB"/>
        </w:rPr>
        <w:t>)</w:t>
      </w:r>
      <w:r w:rsidR="00D4238C" w:rsidRPr="008079FE">
        <w:rPr>
          <w:sz w:val="22"/>
          <w:szCs w:val="22"/>
          <w:lang w:val="en-GB"/>
        </w:rPr>
        <w:t xml:space="preserve">. The reference period which will be taken into account will be the last </w:t>
      </w:r>
      <w:r w:rsidR="00A90F89" w:rsidRPr="008079FE">
        <w:rPr>
          <w:sz w:val="22"/>
          <w:szCs w:val="22"/>
          <w:lang w:val="en-GB"/>
        </w:rPr>
        <w:t xml:space="preserve">5 </w:t>
      </w:r>
      <w:r w:rsidR="00D4238C" w:rsidRPr="008079FE">
        <w:rPr>
          <w:sz w:val="22"/>
          <w:szCs w:val="22"/>
          <w:lang w:val="en-GB"/>
        </w:rPr>
        <w:t>years from submission deadline.</w:t>
      </w:r>
    </w:p>
    <w:p w14:paraId="01CFC0E5" w14:textId="77777777" w:rsidR="00E42B59" w:rsidRPr="008079FE" w:rsidRDefault="00E42B59" w:rsidP="00E42B59">
      <w:pPr>
        <w:pStyle w:val="Blockquote"/>
        <w:ind w:left="1134" w:right="1" w:hanging="284"/>
        <w:jc w:val="both"/>
        <w:rPr>
          <w:sz w:val="22"/>
          <w:szCs w:val="22"/>
          <w:lang w:val="en-GB"/>
        </w:rPr>
      </w:pPr>
      <w:r w:rsidRPr="008079FE">
        <w:rPr>
          <w:sz w:val="22"/>
          <w:szCs w:val="22"/>
          <w:lang w:val="en-GB"/>
        </w:rPr>
        <w:t>The selection criteria for each tenderer are as follows:</w:t>
      </w:r>
    </w:p>
    <w:p w14:paraId="1A27B708" w14:textId="5C68195B" w:rsidR="00E42B59" w:rsidRPr="008079FE" w:rsidRDefault="00E42B59" w:rsidP="00E42B59">
      <w:pPr>
        <w:pStyle w:val="Blockquote"/>
        <w:ind w:left="1134" w:right="1" w:hanging="284"/>
        <w:rPr>
          <w:sz w:val="22"/>
          <w:szCs w:val="22"/>
          <w:lang w:val="en-GB"/>
        </w:rPr>
      </w:pPr>
      <w:r w:rsidRPr="008079FE">
        <w:rPr>
          <w:sz w:val="22"/>
          <w:szCs w:val="22"/>
          <w:lang w:val="en-GB"/>
        </w:rPr>
        <w:t xml:space="preserve">Lot 1 </w:t>
      </w:r>
    </w:p>
    <w:p w14:paraId="00A57D56" w14:textId="09A67A59" w:rsidR="00E42B59" w:rsidRPr="008079FE" w:rsidRDefault="00E42B59" w:rsidP="00E42B59">
      <w:pPr>
        <w:pStyle w:val="Blockquote"/>
        <w:ind w:left="1134" w:right="1" w:hanging="284"/>
        <w:rPr>
          <w:sz w:val="22"/>
          <w:szCs w:val="22"/>
          <w:lang w:val="en-GB"/>
        </w:rPr>
      </w:pPr>
      <w:r w:rsidRPr="008079FE">
        <w:rPr>
          <w:sz w:val="22"/>
          <w:szCs w:val="22"/>
          <w:lang w:val="en-GB"/>
        </w:rPr>
        <w:t>The selection criteria for tenderers to Lot</w:t>
      </w:r>
      <w:r w:rsidR="007B74AD" w:rsidRPr="008079FE">
        <w:rPr>
          <w:sz w:val="22"/>
          <w:szCs w:val="22"/>
          <w:lang w:val="en-GB"/>
        </w:rPr>
        <w:t xml:space="preserve"> </w:t>
      </w:r>
      <w:r w:rsidRPr="008079FE">
        <w:rPr>
          <w:sz w:val="22"/>
          <w:szCs w:val="22"/>
          <w:lang w:val="en-GB"/>
        </w:rPr>
        <w:t>1 are as follows:</w:t>
      </w:r>
    </w:p>
    <w:p w14:paraId="67C60509" w14:textId="77777777" w:rsidR="00E42B59" w:rsidRPr="008079FE" w:rsidRDefault="00E42B59" w:rsidP="00E42B59">
      <w:pPr>
        <w:pStyle w:val="Blockquote"/>
        <w:numPr>
          <w:ilvl w:val="0"/>
          <w:numId w:val="47"/>
        </w:numPr>
        <w:tabs>
          <w:tab w:val="clear" w:pos="360"/>
        </w:tabs>
        <w:ind w:left="1260"/>
        <w:rPr>
          <w:sz w:val="22"/>
          <w:szCs w:val="22"/>
          <w:lang w:val="en-GB"/>
        </w:rPr>
      </w:pPr>
      <w:r w:rsidRPr="008079FE">
        <w:rPr>
          <w:sz w:val="22"/>
          <w:szCs w:val="22"/>
          <w:lang w:val="en-GB"/>
        </w:rPr>
        <w:t xml:space="preserve">registered or authorized to trade goods that are the subject of this contract in accordance with the national legislation of the country of the delivery </w:t>
      </w:r>
    </w:p>
    <w:p w14:paraId="32BC1E56" w14:textId="77777777" w:rsidR="00E42B59" w:rsidRPr="008079FE" w:rsidRDefault="00E42B59" w:rsidP="00E42B59">
      <w:pPr>
        <w:pStyle w:val="Blockquote"/>
        <w:numPr>
          <w:ilvl w:val="0"/>
          <w:numId w:val="47"/>
        </w:numPr>
        <w:tabs>
          <w:tab w:val="clear" w:pos="360"/>
        </w:tabs>
        <w:ind w:left="1260"/>
        <w:rPr>
          <w:sz w:val="22"/>
          <w:szCs w:val="22"/>
          <w:lang w:val="en-GB"/>
        </w:rPr>
      </w:pPr>
      <w:r w:rsidRPr="008079FE">
        <w:rPr>
          <w:sz w:val="22"/>
          <w:szCs w:val="22"/>
          <w:lang w:val="en-GB"/>
        </w:rPr>
        <w:t xml:space="preserve">has a professional certificate ISO 9001 </w:t>
      </w:r>
    </w:p>
    <w:p w14:paraId="75E4960A" w14:textId="77777777" w:rsidR="00E42B59" w:rsidRPr="008079FE" w:rsidRDefault="00E42B59" w:rsidP="00E42B59">
      <w:pPr>
        <w:pStyle w:val="Blockquote"/>
        <w:numPr>
          <w:ilvl w:val="0"/>
          <w:numId w:val="47"/>
        </w:numPr>
        <w:tabs>
          <w:tab w:val="clear" w:pos="360"/>
        </w:tabs>
        <w:ind w:left="1260"/>
        <w:rPr>
          <w:sz w:val="22"/>
          <w:szCs w:val="22"/>
          <w:lang w:val="en-GB"/>
        </w:rPr>
      </w:pPr>
      <w:r w:rsidRPr="008079FE">
        <w:rPr>
          <w:sz w:val="22"/>
          <w:szCs w:val="22"/>
          <w:lang w:val="en-GB"/>
        </w:rPr>
        <w:t xml:space="preserve">at least 2 (two) permanent employees </w:t>
      </w:r>
    </w:p>
    <w:p w14:paraId="5D5D04CD" w14:textId="4CC1F5CE" w:rsidR="00E42B59" w:rsidRPr="008079FE" w:rsidRDefault="00E42B59" w:rsidP="00E42B59">
      <w:pPr>
        <w:pStyle w:val="Blockquote"/>
        <w:ind w:left="1134" w:right="1" w:hanging="284"/>
        <w:rPr>
          <w:sz w:val="22"/>
          <w:szCs w:val="22"/>
          <w:lang w:val="en-GB"/>
        </w:rPr>
      </w:pPr>
      <w:r w:rsidRPr="008079FE">
        <w:rPr>
          <w:sz w:val="22"/>
          <w:szCs w:val="22"/>
          <w:lang w:val="en-GB"/>
        </w:rPr>
        <w:t xml:space="preserve">Lot 2 </w:t>
      </w:r>
    </w:p>
    <w:p w14:paraId="548E2063" w14:textId="345156DD" w:rsidR="00E42B59" w:rsidRPr="008079FE" w:rsidRDefault="00E42B59" w:rsidP="00E42B59">
      <w:pPr>
        <w:pStyle w:val="Blockquote"/>
        <w:ind w:left="1134" w:right="1" w:hanging="284"/>
        <w:rPr>
          <w:sz w:val="22"/>
          <w:szCs w:val="22"/>
          <w:lang w:val="en-GB"/>
        </w:rPr>
      </w:pPr>
      <w:r w:rsidRPr="008079FE">
        <w:rPr>
          <w:sz w:val="22"/>
          <w:szCs w:val="22"/>
          <w:lang w:val="en-GB"/>
        </w:rPr>
        <w:t>The selection criteria for tenderers to Lot 2 are as follows:</w:t>
      </w:r>
    </w:p>
    <w:p w14:paraId="6B7D4FBA" w14:textId="77777777" w:rsidR="00E42B59" w:rsidRPr="008079FE" w:rsidRDefault="00E42B59" w:rsidP="00E42B59">
      <w:pPr>
        <w:pStyle w:val="Blockquote"/>
        <w:numPr>
          <w:ilvl w:val="0"/>
          <w:numId w:val="47"/>
        </w:numPr>
        <w:tabs>
          <w:tab w:val="clear" w:pos="360"/>
        </w:tabs>
        <w:ind w:left="1350"/>
        <w:rPr>
          <w:sz w:val="22"/>
          <w:szCs w:val="22"/>
          <w:lang w:val="en-GB"/>
        </w:rPr>
      </w:pPr>
      <w:r w:rsidRPr="008079FE">
        <w:rPr>
          <w:sz w:val="22"/>
          <w:szCs w:val="22"/>
          <w:lang w:val="en-GB"/>
        </w:rPr>
        <w:t xml:space="preserve">registered or authorized to trade goods that are the subject of this contract in accordance with the national legislation of the country of the delivery </w:t>
      </w:r>
    </w:p>
    <w:p w14:paraId="416883A3" w14:textId="77777777" w:rsidR="00E42B59" w:rsidRPr="008079FE" w:rsidRDefault="00E42B59" w:rsidP="00E42B59">
      <w:pPr>
        <w:pStyle w:val="Blockquote"/>
        <w:numPr>
          <w:ilvl w:val="0"/>
          <w:numId w:val="47"/>
        </w:numPr>
        <w:tabs>
          <w:tab w:val="clear" w:pos="360"/>
        </w:tabs>
        <w:ind w:left="1350"/>
        <w:rPr>
          <w:sz w:val="22"/>
          <w:szCs w:val="22"/>
          <w:lang w:val="en-GB"/>
        </w:rPr>
      </w:pPr>
      <w:r w:rsidRPr="008079FE">
        <w:rPr>
          <w:sz w:val="22"/>
          <w:szCs w:val="22"/>
          <w:lang w:val="en-GB"/>
        </w:rPr>
        <w:t xml:space="preserve">has a professional certificate ISO 9001 </w:t>
      </w:r>
    </w:p>
    <w:p w14:paraId="618EE1CC" w14:textId="77777777" w:rsidR="00E42B59" w:rsidRPr="008079FE" w:rsidRDefault="00E42B59" w:rsidP="00E42B59">
      <w:pPr>
        <w:pStyle w:val="Blockquote"/>
        <w:numPr>
          <w:ilvl w:val="0"/>
          <w:numId w:val="47"/>
        </w:numPr>
        <w:tabs>
          <w:tab w:val="clear" w:pos="360"/>
        </w:tabs>
        <w:ind w:left="1350"/>
        <w:rPr>
          <w:sz w:val="22"/>
          <w:szCs w:val="22"/>
          <w:lang w:val="en-GB"/>
        </w:rPr>
      </w:pPr>
      <w:r w:rsidRPr="008079FE">
        <w:rPr>
          <w:sz w:val="22"/>
          <w:szCs w:val="22"/>
          <w:lang w:val="en-GB"/>
        </w:rPr>
        <w:lastRenderedPageBreak/>
        <w:t xml:space="preserve">at least 2 (two) permanent employees </w:t>
      </w:r>
    </w:p>
    <w:p w14:paraId="04B91227" w14:textId="47702BEA" w:rsidR="005B13FB" w:rsidRPr="008079FE" w:rsidRDefault="0088725C" w:rsidP="00AC2A69">
      <w:pPr>
        <w:pStyle w:val="Blockquote"/>
        <w:ind w:left="1134" w:right="1" w:hanging="284"/>
        <w:jc w:val="both"/>
        <w:rPr>
          <w:sz w:val="22"/>
          <w:szCs w:val="22"/>
          <w:lang w:val="en-GB"/>
        </w:rPr>
      </w:pPr>
      <w:r w:rsidRPr="008079FE">
        <w:rPr>
          <w:sz w:val="22"/>
          <w:szCs w:val="22"/>
          <w:lang w:val="en-GB"/>
        </w:rPr>
        <w:t>3)</w:t>
      </w:r>
      <w:r w:rsidRPr="008079FE">
        <w:rPr>
          <w:sz w:val="22"/>
          <w:szCs w:val="22"/>
          <w:lang w:val="en-GB"/>
        </w:rPr>
        <w:tab/>
      </w:r>
      <w:r w:rsidR="005B13FB" w:rsidRPr="008079FE">
        <w:rPr>
          <w:sz w:val="22"/>
          <w:szCs w:val="22"/>
          <w:lang w:val="en-GB"/>
        </w:rPr>
        <w:t xml:space="preserve">Technical capacity of </w:t>
      </w:r>
      <w:r w:rsidR="00FF0FFC" w:rsidRPr="008079FE">
        <w:rPr>
          <w:sz w:val="22"/>
          <w:szCs w:val="22"/>
          <w:lang w:val="en-GB"/>
        </w:rPr>
        <w:t>tenderer</w:t>
      </w:r>
      <w:r w:rsidR="005B13FB" w:rsidRPr="008079FE">
        <w:rPr>
          <w:sz w:val="22"/>
          <w:szCs w:val="22"/>
          <w:lang w:val="en-GB"/>
        </w:rPr>
        <w:t xml:space="preserve"> </w:t>
      </w:r>
      <w:r w:rsidR="00021ECF" w:rsidRPr="008079FE">
        <w:rPr>
          <w:i/>
          <w:sz w:val="22"/>
          <w:szCs w:val="22"/>
          <w:lang w:val="en-GB"/>
        </w:rPr>
        <w:t>(</w:t>
      </w:r>
      <w:r w:rsidR="005B13FB" w:rsidRPr="008079FE">
        <w:rPr>
          <w:sz w:val="22"/>
          <w:szCs w:val="22"/>
          <w:lang w:val="en-GB"/>
        </w:rPr>
        <w:t xml:space="preserve">based on </w:t>
      </w:r>
      <w:r w:rsidR="00FF0FFC" w:rsidRPr="008079FE">
        <w:rPr>
          <w:sz w:val="22"/>
          <w:szCs w:val="22"/>
          <w:lang w:val="en-GB"/>
        </w:rPr>
        <w:t xml:space="preserve">i.a. </w:t>
      </w:r>
      <w:r w:rsidR="005B13FB" w:rsidRPr="008079FE">
        <w:rPr>
          <w:sz w:val="22"/>
          <w:szCs w:val="22"/>
          <w:lang w:val="en-GB"/>
        </w:rPr>
        <w:t xml:space="preserve">items 5 and 6 of the </w:t>
      </w:r>
      <w:r w:rsidR="00FF0FFC" w:rsidRPr="008079FE">
        <w:rPr>
          <w:sz w:val="22"/>
          <w:szCs w:val="22"/>
          <w:lang w:val="en-GB"/>
        </w:rPr>
        <w:t>Tender Form for a Supply Contract</w:t>
      </w:r>
      <w:r w:rsidR="00021ECF" w:rsidRPr="008079FE">
        <w:rPr>
          <w:sz w:val="22"/>
          <w:szCs w:val="22"/>
          <w:lang w:val="en-GB"/>
        </w:rPr>
        <w:t>)</w:t>
      </w:r>
      <w:r w:rsidR="00D4238C" w:rsidRPr="008079FE">
        <w:rPr>
          <w:sz w:val="22"/>
          <w:szCs w:val="22"/>
          <w:lang w:val="en-GB"/>
        </w:rPr>
        <w:t xml:space="preserve">. The reference period which will be taken into account will be the last </w:t>
      </w:r>
      <w:r w:rsidR="00A90F89" w:rsidRPr="008079FE">
        <w:rPr>
          <w:sz w:val="22"/>
          <w:szCs w:val="22"/>
          <w:lang w:val="en-GB"/>
        </w:rPr>
        <w:t xml:space="preserve">5 </w:t>
      </w:r>
      <w:r w:rsidR="00D4238C" w:rsidRPr="008079FE">
        <w:rPr>
          <w:sz w:val="22"/>
          <w:szCs w:val="22"/>
          <w:lang w:val="en-GB"/>
        </w:rPr>
        <w:t>years from submission deadline.</w:t>
      </w:r>
    </w:p>
    <w:p w14:paraId="68D17EC2" w14:textId="77777777" w:rsidR="0089260B" w:rsidRPr="008079FE" w:rsidRDefault="0089260B" w:rsidP="0089260B">
      <w:pPr>
        <w:pStyle w:val="Blockquote"/>
        <w:ind w:left="1134" w:right="1"/>
        <w:jc w:val="both"/>
        <w:rPr>
          <w:sz w:val="22"/>
          <w:szCs w:val="22"/>
          <w:lang w:val="en-GB"/>
        </w:rPr>
      </w:pPr>
      <w:r w:rsidRPr="008079FE">
        <w:rPr>
          <w:sz w:val="22"/>
          <w:szCs w:val="22"/>
          <w:lang w:val="en-GB"/>
        </w:rPr>
        <w:t>The selection criteria for each tenderer are as follows:</w:t>
      </w:r>
    </w:p>
    <w:p w14:paraId="47F8B6A9" w14:textId="52F4A799" w:rsidR="0089260B" w:rsidRPr="008079FE" w:rsidRDefault="0089260B" w:rsidP="0089260B">
      <w:pPr>
        <w:pStyle w:val="Blockquote"/>
        <w:ind w:left="1134" w:right="1"/>
        <w:rPr>
          <w:sz w:val="22"/>
          <w:szCs w:val="22"/>
          <w:lang w:val="en-GB"/>
        </w:rPr>
      </w:pPr>
      <w:r w:rsidRPr="008079FE">
        <w:rPr>
          <w:sz w:val="22"/>
          <w:szCs w:val="22"/>
          <w:lang w:val="en-GB"/>
        </w:rPr>
        <w:t xml:space="preserve">Lot 1 </w:t>
      </w:r>
    </w:p>
    <w:p w14:paraId="2B845799" w14:textId="77777777" w:rsidR="0089260B" w:rsidRPr="008079FE" w:rsidRDefault="0089260B" w:rsidP="0089260B">
      <w:pPr>
        <w:pStyle w:val="Blockquote"/>
        <w:ind w:left="1134" w:right="1"/>
        <w:rPr>
          <w:sz w:val="22"/>
          <w:szCs w:val="22"/>
          <w:lang w:val="en-GB"/>
        </w:rPr>
      </w:pPr>
      <w:r w:rsidRPr="008079FE">
        <w:rPr>
          <w:sz w:val="22"/>
          <w:szCs w:val="22"/>
          <w:lang w:val="en-GB"/>
        </w:rPr>
        <w:t>The selection criteria for tenderers to Lot n° 1 are as follows:</w:t>
      </w:r>
    </w:p>
    <w:p w14:paraId="0F215922" w14:textId="059D489E" w:rsidR="0089260B" w:rsidRPr="008079FE" w:rsidRDefault="0089260B" w:rsidP="0089260B">
      <w:pPr>
        <w:pStyle w:val="Blockquote"/>
        <w:numPr>
          <w:ilvl w:val="0"/>
          <w:numId w:val="47"/>
        </w:numPr>
        <w:tabs>
          <w:tab w:val="clear" w:pos="360"/>
        </w:tabs>
        <w:ind w:left="1530"/>
        <w:rPr>
          <w:sz w:val="22"/>
          <w:szCs w:val="22"/>
          <w:lang w:val="en-GB"/>
        </w:rPr>
      </w:pPr>
      <w:r w:rsidRPr="008079FE">
        <w:rPr>
          <w:sz w:val="22"/>
          <w:szCs w:val="22"/>
          <w:lang w:val="en-GB"/>
        </w:rPr>
        <w:t xml:space="preserve">the tenderer has delivered supplies of the same or similar nature under one or more contracts in the last five years from the submission deadline, whose value must be at least </w:t>
      </w:r>
      <w:r w:rsidR="007B74AD" w:rsidRPr="008079FE">
        <w:rPr>
          <w:sz w:val="22"/>
          <w:szCs w:val="22"/>
          <w:lang w:val="en-GB"/>
        </w:rPr>
        <w:t>of its financial offer,</w:t>
      </w:r>
      <w:r w:rsidRPr="008079FE">
        <w:rPr>
          <w:sz w:val="22"/>
          <w:szCs w:val="22"/>
          <w:lang w:val="en-GB"/>
        </w:rPr>
        <w:t xml:space="preserve"> if a tenderer, in order to prove technical capacity, refers to more than one contract, their value will be calculated cumulatively</w:t>
      </w:r>
    </w:p>
    <w:p w14:paraId="0D652AF2" w14:textId="568ECE11" w:rsidR="0089260B" w:rsidRPr="008079FE" w:rsidRDefault="0089260B" w:rsidP="0089260B">
      <w:pPr>
        <w:pStyle w:val="Blockquote"/>
        <w:ind w:left="1134" w:right="1"/>
        <w:rPr>
          <w:sz w:val="22"/>
          <w:szCs w:val="22"/>
          <w:lang w:val="en-GB"/>
        </w:rPr>
      </w:pPr>
      <w:r w:rsidRPr="008079FE">
        <w:rPr>
          <w:sz w:val="22"/>
          <w:szCs w:val="22"/>
          <w:lang w:val="en-GB"/>
        </w:rPr>
        <w:t xml:space="preserve">Lot 2 </w:t>
      </w:r>
    </w:p>
    <w:p w14:paraId="7D2D453A" w14:textId="77777777" w:rsidR="0089260B" w:rsidRPr="008079FE" w:rsidRDefault="0089260B" w:rsidP="0089260B">
      <w:pPr>
        <w:pStyle w:val="Blockquote"/>
        <w:ind w:left="1134" w:right="1"/>
        <w:rPr>
          <w:sz w:val="22"/>
          <w:szCs w:val="22"/>
          <w:lang w:val="en-GB"/>
        </w:rPr>
      </w:pPr>
      <w:r w:rsidRPr="008079FE">
        <w:rPr>
          <w:sz w:val="22"/>
          <w:szCs w:val="22"/>
          <w:lang w:val="en-GB"/>
        </w:rPr>
        <w:t xml:space="preserve">The selection criteria for tenderers to Lot n° 2 are as follows: </w:t>
      </w:r>
    </w:p>
    <w:p w14:paraId="42C89BD9" w14:textId="77777777" w:rsidR="007B74AD" w:rsidRPr="008079FE" w:rsidRDefault="007B74AD" w:rsidP="007B74AD">
      <w:pPr>
        <w:pStyle w:val="Blockquote"/>
        <w:numPr>
          <w:ilvl w:val="0"/>
          <w:numId w:val="47"/>
        </w:numPr>
        <w:tabs>
          <w:tab w:val="clear" w:pos="360"/>
        </w:tabs>
        <w:ind w:left="1530"/>
        <w:rPr>
          <w:sz w:val="22"/>
          <w:szCs w:val="22"/>
          <w:lang w:val="en-GB"/>
        </w:rPr>
      </w:pPr>
      <w:r w:rsidRPr="008079FE">
        <w:rPr>
          <w:sz w:val="22"/>
          <w:szCs w:val="22"/>
          <w:lang w:val="en-GB"/>
        </w:rPr>
        <w:t>the tenderer has delivered supplies of the same or similar nature under one or more contracts in the last five years from the submission deadline, whose value must be at least of its financial offer, if a tenderer, in order to prove technical capacity, refers to more than one contract, their value will be calculated cumulatively</w:t>
      </w:r>
    </w:p>
    <w:p w14:paraId="656B355D" w14:textId="3350EE09" w:rsidR="0089260B" w:rsidRPr="008079FE" w:rsidRDefault="0089260B" w:rsidP="007B74AD">
      <w:pPr>
        <w:pStyle w:val="Blockquote"/>
        <w:rPr>
          <w:sz w:val="22"/>
          <w:szCs w:val="22"/>
          <w:lang w:val="en-GB"/>
        </w:rPr>
      </w:pPr>
    </w:p>
    <w:p w14:paraId="3A7839BA" w14:textId="3ED751D5" w:rsidR="00973479" w:rsidRPr="008079FE" w:rsidRDefault="009176B7" w:rsidP="00AC2A69">
      <w:pPr>
        <w:pStyle w:val="Blockquote"/>
        <w:ind w:left="1134" w:right="1"/>
        <w:jc w:val="both"/>
        <w:rPr>
          <w:sz w:val="22"/>
          <w:szCs w:val="22"/>
          <w:lang w:val="en-GB"/>
        </w:rPr>
      </w:pPr>
      <w:r w:rsidRPr="008079FE">
        <w:rPr>
          <w:sz w:val="22"/>
          <w:szCs w:val="22"/>
          <w:lang w:val="en-GB"/>
        </w:rPr>
        <w:t xml:space="preserve">This means that the </w:t>
      </w:r>
      <w:r w:rsidR="00D27C2B" w:rsidRPr="008079FE">
        <w:rPr>
          <w:sz w:val="22"/>
          <w:szCs w:val="22"/>
          <w:lang w:val="en-GB"/>
        </w:rPr>
        <w:t>contract</w:t>
      </w:r>
      <w:r w:rsidRPr="008079FE">
        <w:rPr>
          <w:sz w:val="22"/>
          <w:szCs w:val="22"/>
          <w:lang w:val="en-GB"/>
        </w:rPr>
        <w:t xml:space="preserve"> the tenderer refers to could have been started</w:t>
      </w:r>
      <w:r w:rsidR="007028AF" w:rsidRPr="008079FE">
        <w:rPr>
          <w:sz w:val="22"/>
          <w:szCs w:val="22"/>
          <w:lang w:val="en-GB"/>
        </w:rPr>
        <w:t xml:space="preserve"> or </w:t>
      </w:r>
      <w:r w:rsidRPr="008079FE">
        <w:rPr>
          <w:sz w:val="22"/>
          <w:szCs w:val="22"/>
          <w:lang w:val="en-GB"/>
        </w:rPr>
        <w:t>completed at any time during the indicated period but it does not necessarily have to be started and completed during that period, nor implemented during the entire period.</w:t>
      </w:r>
      <w:r w:rsidR="00FE54CE" w:rsidRPr="008079FE">
        <w:rPr>
          <w:sz w:val="22"/>
          <w:szCs w:val="22"/>
          <w:lang w:val="en-GB"/>
        </w:rPr>
        <w:t xml:space="preserve"> </w:t>
      </w:r>
      <w:r w:rsidR="00FE737F" w:rsidRPr="008079FE">
        <w:rPr>
          <w:sz w:val="22"/>
          <w:szCs w:val="22"/>
          <w:lang w:val="en-GB"/>
        </w:rPr>
        <w:t>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r w:rsidR="007706E7" w:rsidRPr="008079FE">
        <w:rPr>
          <w:sz w:val="22"/>
          <w:szCs w:val="22"/>
          <w:lang w:val="en-GB"/>
        </w:rPr>
        <w:t xml:space="preserve"> </w:t>
      </w:r>
    </w:p>
    <w:p w14:paraId="60C01F86" w14:textId="77777777" w:rsidR="00A90F89" w:rsidRPr="008079FE" w:rsidRDefault="00A90F89" w:rsidP="00AC2A69">
      <w:pPr>
        <w:pStyle w:val="Blockquote"/>
        <w:keepLines/>
        <w:ind w:left="1134" w:right="1"/>
        <w:jc w:val="both"/>
        <w:rPr>
          <w:sz w:val="22"/>
          <w:szCs w:val="22"/>
          <w:lang w:val="en-GB"/>
        </w:rPr>
      </w:pPr>
      <w:r w:rsidRPr="008079FE">
        <w:rPr>
          <w:sz w:val="22"/>
          <w:szCs w:val="22"/>
          <w:lang w:val="en-GB"/>
        </w:rPr>
        <w:t xml:space="preserve">Capacity-providing entities </w:t>
      </w:r>
    </w:p>
    <w:p w14:paraId="45864F91" w14:textId="77777777" w:rsidR="004008A2" w:rsidRPr="008079FE" w:rsidRDefault="00560CD6" w:rsidP="00AC2A69">
      <w:pPr>
        <w:pStyle w:val="Blockquote"/>
        <w:keepLines/>
        <w:ind w:left="1134" w:right="1"/>
        <w:jc w:val="both"/>
        <w:rPr>
          <w:sz w:val="22"/>
          <w:szCs w:val="22"/>
          <w:lang w:val="en-GB"/>
        </w:rPr>
      </w:pPr>
      <w:r w:rsidRPr="008079FE">
        <w:rPr>
          <w:sz w:val="22"/>
          <w:szCs w:val="22"/>
          <w:lang w:val="en-GB"/>
        </w:rPr>
        <w:lastRenderedPageBreak/>
        <w:t xml:space="preserve">An economic operator may, where appropriate and for a particular contract, rely on the capacities of other entities, regardless of the legal nature of the links which it has with them. </w:t>
      </w:r>
      <w:r w:rsidR="009F4A26" w:rsidRPr="008079FE">
        <w:rPr>
          <w:sz w:val="22"/>
          <w:szCs w:val="22"/>
          <w:lang w:val="en-GB"/>
        </w:rPr>
        <w:t xml:space="preserve">Some examples of when it may not be considered appropriate by the </w:t>
      </w:r>
      <w:r w:rsidR="00EC6129" w:rsidRPr="008079FE">
        <w:rPr>
          <w:sz w:val="22"/>
          <w:szCs w:val="22"/>
          <w:lang w:val="en-GB"/>
        </w:rPr>
        <w:t>Project partner</w:t>
      </w:r>
      <w:r w:rsidR="009F4A26" w:rsidRPr="008079FE">
        <w:rPr>
          <w:sz w:val="22"/>
          <w:szCs w:val="22"/>
          <w:lang w:val="en-GB"/>
        </w:rPr>
        <w:t xml:space="preserve"> are when the tender rely in majority on the capacities of other entities or when they rely on key criteria. If the tender rely on other entities it</w:t>
      </w:r>
      <w:r w:rsidRPr="008079FE">
        <w:rPr>
          <w:sz w:val="22"/>
          <w:szCs w:val="22"/>
          <w:lang w:val="en-GB"/>
        </w:rPr>
        <w:t xml:space="preserve"> must prove to the </w:t>
      </w:r>
      <w:r w:rsidR="00EC6129" w:rsidRPr="008079FE">
        <w:rPr>
          <w:sz w:val="22"/>
          <w:szCs w:val="22"/>
          <w:lang w:val="en-GB"/>
        </w:rPr>
        <w:t>Project partner</w:t>
      </w:r>
      <w:r w:rsidRPr="008079FE">
        <w:rPr>
          <w:sz w:val="22"/>
          <w:szCs w:val="22"/>
          <w:lang w:val="en-GB"/>
        </w:rPr>
        <w:t xml:space="preserve"> that it will have at its disposal the resources necessary for performance of the contract, for example by producing a</w:t>
      </w:r>
      <w:r w:rsidR="00A90F89" w:rsidRPr="008079FE">
        <w:rPr>
          <w:sz w:val="22"/>
          <w:szCs w:val="22"/>
          <w:lang w:val="en-GB"/>
        </w:rPr>
        <w:t xml:space="preserve"> commitment </w:t>
      </w:r>
      <w:r w:rsidRPr="008079FE">
        <w:rPr>
          <w:sz w:val="22"/>
          <w:szCs w:val="22"/>
          <w:lang w:val="en-GB"/>
        </w:rPr>
        <w:t xml:space="preserve">on the part of those entities to place those resources at its disposal. </w:t>
      </w:r>
      <w:r w:rsidR="004008A2" w:rsidRPr="008079FE">
        <w:rPr>
          <w:sz w:val="22"/>
          <w:szCs w:val="22"/>
          <w:lang w:val="en-GB"/>
        </w:rPr>
        <w:t>Such entities</w:t>
      </w:r>
      <w:r w:rsidR="00A547F9" w:rsidRPr="008079FE">
        <w:rPr>
          <w:sz w:val="22"/>
          <w:szCs w:val="22"/>
          <w:lang w:val="en-GB"/>
        </w:rPr>
        <w:t xml:space="preserve">, for instance the parent company of the economic operator, </w:t>
      </w:r>
      <w:r w:rsidR="004008A2" w:rsidRPr="008079FE">
        <w:rPr>
          <w:sz w:val="22"/>
          <w:szCs w:val="22"/>
          <w:lang w:val="en-GB"/>
        </w:rPr>
        <w:t>must respect the same rules of eligibility and notably that of nationality, as the economic operator.</w:t>
      </w:r>
      <w:r w:rsidR="009F4A26" w:rsidRPr="008079FE">
        <w:rPr>
          <w:sz w:val="22"/>
          <w:szCs w:val="22"/>
          <w:lang w:val="en-GB"/>
        </w:rPr>
        <w:t xml:space="preserve"> Furthermore, the data for this third entity for the relevant selection criterion should be included in the tender in a separate document. Proof of the capacity will also have to be furnished when requested by the </w:t>
      </w:r>
      <w:r w:rsidR="00EC6129" w:rsidRPr="008079FE">
        <w:rPr>
          <w:sz w:val="22"/>
          <w:szCs w:val="22"/>
          <w:lang w:val="en-GB"/>
        </w:rPr>
        <w:t>Project partner</w:t>
      </w:r>
      <w:r w:rsidR="009F4A26" w:rsidRPr="008079FE">
        <w:rPr>
          <w:sz w:val="22"/>
          <w:szCs w:val="22"/>
          <w:lang w:val="en-GB"/>
        </w:rPr>
        <w:t xml:space="preserve">. </w:t>
      </w:r>
    </w:p>
    <w:p w14:paraId="4CA74498" w14:textId="77777777" w:rsidR="00A90F89" w:rsidRPr="008079FE" w:rsidRDefault="00A90F89" w:rsidP="00AC2A69">
      <w:pPr>
        <w:pStyle w:val="Blockquote"/>
        <w:keepLines/>
        <w:ind w:left="1134" w:right="1"/>
        <w:jc w:val="both"/>
        <w:rPr>
          <w:sz w:val="22"/>
          <w:szCs w:val="22"/>
          <w:lang w:val="en-GB"/>
        </w:rPr>
      </w:pPr>
      <w:r w:rsidRPr="008079FE">
        <w:rPr>
          <w:sz w:val="22"/>
          <w:szCs w:val="22"/>
          <w:lang w:val="en-GB"/>
        </w:rPr>
        <w:t>With regard to technical and professional criteria, a tenderer may only rely on the capacities of other entities where the latter will perform the tasks for which these capacities are required.</w:t>
      </w:r>
    </w:p>
    <w:p w14:paraId="47FF49AB" w14:textId="77777777" w:rsidR="00A90F89" w:rsidRPr="008079FE" w:rsidRDefault="00A90F89" w:rsidP="00AC2A69">
      <w:pPr>
        <w:pStyle w:val="Blockquote"/>
        <w:keepLines/>
        <w:ind w:left="1134" w:right="1"/>
        <w:jc w:val="both"/>
        <w:rPr>
          <w:sz w:val="22"/>
          <w:szCs w:val="22"/>
          <w:lang w:val="en-GB"/>
        </w:rPr>
      </w:pPr>
      <w:r w:rsidRPr="008079FE">
        <w:rPr>
          <w:sz w:val="22"/>
          <w:szCs w:val="22"/>
          <w:lang w:val="en-GB"/>
        </w:rPr>
        <w:t>With regard to economic and financial criteria, the entities upon whose capacity the tenderer relies, become jointly and severally liable for the performance of the contract.</w:t>
      </w:r>
    </w:p>
    <w:p w14:paraId="12AAFE13" w14:textId="77777777" w:rsidR="00E23824" w:rsidRPr="008079FE" w:rsidRDefault="00E23824" w:rsidP="00AC2A69">
      <w:pPr>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Award criteria</w:t>
      </w:r>
    </w:p>
    <w:p w14:paraId="44E1E8DB" w14:textId="74DB2B25" w:rsidR="00EC76FB" w:rsidRPr="008079FE" w:rsidRDefault="00EC76FB" w:rsidP="009C235D">
      <w:pPr>
        <w:ind w:left="644"/>
        <w:jc w:val="both"/>
        <w:outlineLvl w:val="0"/>
        <w:rPr>
          <w:lang w:val="en-GB"/>
        </w:rPr>
      </w:pPr>
      <w:r w:rsidRPr="008079FE">
        <w:rPr>
          <w:sz w:val="22"/>
          <w:lang w:val="en-GB"/>
        </w:rPr>
        <w:t>The sole award criterion will be the price. The contract will be awarded to the lowest compliant tender.</w:t>
      </w:r>
    </w:p>
    <w:p w14:paraId="614E80EB" w14:textId="77777777" w:rsidR="00304115" w:rsidRPr="008079FE" w:rsidRDefault="00304115" w:rsidP="009C235D">
      <w:pPr>
        <w:pStyle w:val="ListParagraph"/>
        <w:spacing w:after="0" w:line="240" w:lineRule="auto"/>
        <w:ind w:left="567"/>
        <w:rPr>
          <w:rFonts w:ascii="Times New Roman" w:hAnsi="Times New Roman"/>
          <w:iCs/>
          <w:color w:val="000000"/>
          <w:highlight w:val="lightGray"/>
          <w:lang w:val="en-GB"/>
        </w:rPr>
      </w:pPr>
    </w:p>
    <w:p w14:paraId="1329C4F9" w14:textId="77777777" w:rsidR="00E23824" w:rsidRPr="008079FE" w:rsidRDefault="00E23824" w:rsidP="00AC2A69">
      <w:pPr>
        <w:spacing w:before="300"/>
        <w:ind w:right="1"/>
        <w:jc w:val="center"/>
        <w:rPr>
          <w:rStyle w:val="Strong"/>
          <w:sz w:val="28"/>
          <w:szCs w:val="28"/>
          <w:lang w:val="en-GB"/>
        </w:rPr>
      </w:pPr>
      <w:r w:rsidRPr="008079FE">
        <w:rPr>
          <w:rStyle w:val="Strong"/>
          <w:sz w:val="28"/>
          <w:szCs w:val="28"/>
          <w:lang w:val="en-GB"/>
        </w:rPr>
        <w:t>TENDERING</w:t>
      </w:r>
    </w:p>
    <w:p w14:paraId="44764CEA" w14:textId="77777777" w:rsidR="00E23824" w:rsidRPr="008079FE" w:rsidRDefault="00E23824" w:rsidP="00AC2A69">
      <w:pPr>
        <w:numPr>
          <w:ilvl w:val="0"/>
          <w:numId w:val="35"/>
        </w:numPr>
        <w:tabs>
          <w:tab w:val="clear" w:pos="644"/>
          <w:tab w:val="num" w:pos="709"/>
        </w:tabs>
        <w:ind w:left="709" w:right="1" w:hanging="425"/>
        <w:outlineLvl w:val="0"/>
        <w:rPr>
          <w:rStyle w:val="Strong"/>
          <w:szCs w:val="24"/>
          <w:lang w:val="en-GB"/>
        </w:rPr>
      </w:pPr>
      <w:r w:rsidRPr="008079FE">
        <w:rPr>
          <w:rStyle w:val="Strong"/>
          <w:szCs w:val="24"/>
          <w:lang w:val="en-GB"/>
        </w:rPr>
        <w:t>How to obtain the tender dossier</w:t>
      </w:r>
    </w:p>
    <w:p w14:paraId="6ED7D328" w14:textId="6D5EEC0D" w:rsidR="0089260B" w:rsidRPr="008079FE" w:rsidRDefault="007B74AD" w:rsidP="007B74AD">
      <w:pPr>
        <w:pStyle w:val="Blockquote"/>
        <w:ind w:left="709" w:right="1"/>
        <w:jc w:val="both"/>
        <w:rPr>
          <w:color w:val="FF0000"/>
          <w:sz w:val="22"/>
          <w:szCs w:val="22"/>
          <w:lang w:val="en-GB"/>
        </w:rPr>
      </w:pPr>
      <w:r w:rsidRPr="008079FE">
        <w:rPr>
          <w:sz w:val="22"/>
          <w:szCs w:val="22"/>
          <w:lang w:val="en-GB"/>
        </w:rPr>
        <w:t xml:space="preserve">The tender dossier is available from the following Internet address: on the official website of Interreg VI-A IPA programme Croatia – Serbia, at: </w:t>
      </w:r>
      <w:hyperlink r:id="rId8" w:history="1">
        <w:r w:rsidRPr="008079FE">
          <w:rPr>
            <w:rStyle w:val="Hyperlink"/>
            <w:sz w:val="22"/>
            <w:szCs w:val="22"/>
            <w:lang w:val="en-GB"/>
          </w:rPr>
          <w:t>https://interreg-croatia-serbia.eu/</w:t>
        </w:r>
      </w:hyperlink>
      <w:r w:rsidRPr="008079FE">
        <w:rPr>
          <w:sz w:val="22"/>
          <w:szCs w:val="22"/>
          <w:lang w:val="en-GB"/>
        </w:rPr>
        <w:t xml:space="preserve"> and on the Contracting Authority’s official website</w:t>
      </w:r>
      <w:r w:rsidRPr="008079FE">
        <w:rPr>
          <w:color w:val="FF0000"/>
          <w:sz w:val="22"/>
          <w:szCs w:val="22"/>
          <w:lang w:val="en-GB"/>
        </w:rPr>
        <w:t xml:space="preserve">: </w:t>
      </w:r>
      <w:hyperlink r:id="rId9" w:history="1">
        <w:r w:rsidRPr="008079FE">
          <w:rPr>
            <w:rStyle w:val="Hyperlink"/>
            <w:sz w:val="22"/>
            <w:szCs w:val="22"/>
            <w:lang w:val="en-GB"/>
          </w:rPr>
          <w:t>https://dzsombor.rs/s-o-o-s/</w:t>
        </w:r>
      </w:hyperlink>
    </w:p>
    <w:p w14:paraId="0971794A" w14:textId="2212BA87" w:rsidR="00E23824" w:rsidRPr="008079FE" w:rsidRDefault="00E23824" w:rsidP="00AC2A69">
      <w:pPr>
        <w:pStyle w:val="Blockquote"/>
        <w:ind w:left="709" w:right="1"/>
        <w:jc w:val="both"/>
        <w:rPr>
          <w:sz w:val="22"/>
          <w:szCs w:val="22"/>
          <w:lang w:val="en-GB"/>
        </w:rPr>
      </w:pPr>
      <w:r w:rsidRPr="008079FE">
        <w:rPr>
          <w:sz w:val="22"/>
          <w:szCs w:val="22"/>
          <w:lang w:val="en-GB"/>
        </w:rPr>
        <w:t xml:space="preserve">The tender dossier is also available from the </w:t>
      </w:r>
      <w:r w:rsidR="00B449C6" w:rsidRPr="008079FE">
        <w:rPr>
          <w:sz w:val="22"/>
          <w:szCs w:val="22"/>
          <w:lang w:val="en-GB"/>
        </w:rPr>
        <w:t>Contracting Authority</w:t>
      </w:r>
      <w:r w:rsidRPr="008079FE">
        <w:rPr>
          <w:sz w:val="22"/>
          <w:szCs w:val="22"/>
          <w:lang w:val="en-GB"/>
        </w:rPr>
        <w:t xml:space="preserve">. Tenders must be submitted using the standard </w:t>
      </w:r>
      <w:r w:rsidR="00733C1A" w:rsidRPr="008079FE">
        <w:rPr>
          <w:sz w:val="22"/>
          <w:szCs w:val="22"/>
          <w:lang w:val="en-GB"/>
        </w:rPr>
        <w:t>Tender Form for a Supply Contract</w:t>
      </w:r>
      <w:r w:rsidRPr="008079FE">
        <w:rPr>
          <w:sz w:val="22"/>
          <w:szCs w:val="22"/>
          <w:lang w:val="en-GB"/>
        </w:rPr>
        <w:t xml:space="preserve"> included in the tender dossier, whose format and instructions must be strictly observed.</w:t>
      </w:r>
    </w:p>
    <w:p w14:paraId="78CAF2E9" w14:textId="77777777" w:rsidR="0089260B" w:rsidRPr="008079FE" w:rsidRDefault="00E23824" w:rsidP="00AC2A69">
      <w:pPr>
        <w:ind w:left="709" w:right="1"/>
        <w:jc w:val="both"/>
        <w:rPr>
          <w:sz w:val="22"/>
          <w:szCs w:val="22"/>
          <w:lang w:val="en-GB"/>
        </w:rPr>
      </w:pPr>
      <w:r w:rsidRPr="008079FE">
        <w:rPr>
          <w:sz w:val="22"/>
          <w:szCs w:val="22"/>
          <w:lang w:val="en-GB"/>
        </w:rPr>
        <w:t xml:space="preserve">Tenderers with questions regarding this tender should send them in writing to </w:t>
      </w:r>
      <w:r w:rsidR="0089260B" w:rsidRPr="008079FE">
        <w:rPr>
          <w:sz w:val="22"/>
          <w:szCs w:val="22"/>
          <w:lang w:val="en-GB"/>
        </w:rPr>
        <w:t>:</w:t>
      </w:r>
    </w:p>
    <w:bookmarkStart w:id="5" w:name="_Hlk209973303"/>
    <w:bookmarkStart w:id="6" w:name="_Hlk209973292"/>
    <w:p w14:paraId="057186BA" w14:textId="08EEFA74" w:rsidR="00B449C6" w:rsidRPr="008079FE" w:rsidRDefault="00B449C6" w:rsidP="00AC2A69">
      <w:pPr>
        <w:ind w:left="709" w:right="1"/>
        <w:jc w:val="both"/>
        <w:rPr>
          <w:sz w:val="22"/>
          <w:szCs w:val="22"/>
          <w:lang w:val="en-GB"/>
        </w:rPr>
      </w:pPr>
      <w:r w:rsidRPr="008079FE">
        <w:rPr>
          <w:sz w:val="22"/>
          <w:szCs w:val="22"/>
          <w:lang w:val="en-GB"/>
        </w:rPr>
        <w:fldChar w:fldCharType="begin"/>
      </w:r>
      <w:r w:rsidRPr="008079FE">
        <w:rPr>
          <w:sz w:val="22"/>
          <w:szCs w:val="22"/>
          <w:lang w:val="en-GB"/>
        </w:rPr>
        <w:instrText>HYPERLINK "mailto:marijana.obradovic@dzsombor.rs"</w:instrText>
      </w:r>
      <w:r w:rsidRPr="008079FE">
        <w:rPr>
          <w:sz w:val="22"/>
          <w:szCs w:val="22"/>
          <w:lang w:val="en-GB"/>
        </w:rPr>
      </w:r>
      <w:r w:rsidRPr="008079FE">
        <w:rPr>
          <w:sz w:val="22"/>
          <w:szCs w:val="22"/>
          <w:lang w:val="en-GB"/>
        </w:rPr>
        <w:fldChar w:fldCharType="separate"/>
      </w:r>
      <w:r w:rsidRPr="008079FE">
        <w:rPr>
          <w:rStyle w:val="Hyperlink"/>
          <w:sz w:val="22"/>
          <w:szCs w:val="22"/>
          <w:lang w:val="en-GB"/>
        </w:rPr>
        <w:t>marijana.obradovic@dzsombor.rs</w:t>
      </w:r>
      <w:r w:rsidRPr="008079FE">
        <w:rPr>
          <w:sz w:val="22"/>
          <w:szCs w:val="22"/>
          <w:lang w:val="en-GB"/>
        </w:rPr>
        <w:fldChar w:fldCharType="end"/>
      </w:r>
      <w:bookmarkEnd w:id="5"/>
    </w:p>
    <w:bookmarkEnd w:id="6"/>
    <w:p w14:paraId="6F04B5DF" w14:textId="3A35353A" w:rsidR="0089260B" w:rsidRPr="008079FE" w:rsidRDefault="00E23824" w:rsidP="00B449C6">
      <w:pPr>
        <w:ind w:left="709" w:right="1"/>
        <w:jc w:val="both"/>
        <w:rPr>
          <w:sz w:val="22"/>
          <w:szCs w:val="22"/>
          <w:lang w:val="en-GB"/>
        </w:rPr>
      </w:pPr>
      <w:r w:rsidRPr="008079FE">
        <w:rPr>
          <w:sz w:val="22"/>
          <w:szCs w:val="22"/>
          <w:lang w:val="en-GB"/>
        </w:rPr>
        <w:t xml:space="preserve"> </w:t>
      </w:r>
      <w:r w:rsidR="0089260B" w:rsidRPr="008079FE">
        <w:rPr>
          <w:sz w:val="22"/>
          <w:szCs w:val="22"/>
          <w:lang w:val="en-GB"/>
        </w:rPr>
        <w:t>Or postal address:</w:t>
      </w:r>
    </w:p>
    <w:p w14:paraId="6146BBE9" w14:textId="06A33F31" w:rsidR="00AC4ADE" w:rsidRPr="008079FE" w:rsidRDefault="00233A96" w:rsidP="00B449C6">
      <w:pPr>
        <w:pStyle w:val="Blockquote"/>
        <w:ind w:left="709" w:right="1"/>
        <w:jc w:val="both"/>
        <w:rPr>
          <w:color w:val="FF0000"/>
          <w:sz w:val="22"/>
          <w:szCs w:val="22"/>
          <w:lang w:val="en-GB"/>
        </w:rPr>
      </w:pPr>
      <w:bookmarkStart w:id="7" w:name="_Hlk209972015"/>
      <w:r w:rsidRPr="008079FE">
        <w:rPr>
          <w:sz w:val="22"/>
          <w:szCs w:val="22"/>
          <w:lang w:val="en-GB"/>
        </w:rPr>
        <w:t>Dom Zdravlja</w:t>
      </w:r>
      <w:r w:rsidR="005D1BD2" w:rsidRPr="008079FE">
        <w:rPr>
          <w:sz w:val="22"/>
          <w:szCs w:val="22"/>
          <w:lang w:val="en-GB"/>
        </w:rPr>
        <w:t xml:space="preserve"> </w:t>
      </w:r>
      <w:r w:rsidR="00B449C6" w:rsidRPr="008079FE">
        <w:rPr>
          <w:sz w:val="22"/>
          <w:szCs w:val="22"/>
          <w:lang w:val="en-GB"/>
        </w:rPr>
        <w:t>“Dr. Đorđe Lazić” Sombor,  Mirna 3, 25000 Sombor, Republic of Serbia</w:t>
      </w:r>
      <w:bookmarkEnd w:id="7"/>
      <w:r w:rsidR="00B449C6" w:rsidRPr="008079FE">
        <w:rPr>
          <w:sz w:val="22"/>
          <w:szCs w:val="22"/>
          <w:lang w:val="en-GB"/>
        </w:rPr>
        <w:t xml:space="preserve">, </w:t>
      </w:r>
      <w:r w:rsidR="00E23824" w:rsidRPr="008079FE">
        <w:rPr>
          <w:sz w:val="22"/>
          <w:szCs w:val="22"/>
          <w:lang w:val="en-GB"/>
        </w:rPr>
        <w:t xml:space="preserve">(mentioning the publication reference shown in item 1) at least 21 days before the deadline for submission of tenders given in item 19. The </w:t>
      </w:r>
      <w:r w:rsidR="00EC6129" w:rsidRPr="008079FE">
        <w:rPr>
          <w:sz w:val="22"/>
          <w:szCs w:val="22"/>
          <w:lang w:val="en-GB"/>
        </w:rPr>
        <w:t>Project partner</w:t>
      </w:r>
      <w:r w:rsidR="00E23824" w:rsidRPr="008079FE">
        <w:rPr>
          <w:sz w:val="22"/>
          <w:szCs w:val="22"/>
          <w:lang w:val="en-GB"/>
        </w:rPr>
        <w:t xml:space="preserve"> must reply to all tenderers' questions at least 11 days before the</w:t>
      </w:r>
      <w:r w:rsidR="00E23824" w:rsidRPr="008079FE">
        <w:rPr>
          <w:lang w:val="en-GB"/>
        </w:rPr>
        <w:t xml:space="preserve"> </w:t>
      </w:r>
      <w:r w:rsidR="00E23824" w:rsidRPr="008079FE">
        <w:rPr>
          <w:sz w:val="22"/>
          <w:szCs w:val="22"/>
          <w:lang w:val="en-GB"/>
        </w:rPr>
        <w:t>deadline for submission of tenders.</w:t>
      </w:r>
      <w:r w:rsidR="006E469C" w:rsidRPr="008079FE">
        <w:rPr>
          <w:sz w:val="22"/>
          <w:szCs w:val="22"/>
          <w:lang w:val="en-GB"/>
        </w:rPr>
        <w:t xml:space="preserve"> Eventual clarifications </w:t>
      </w:r>
      <w:r w:rsidR="00BC3573" w:rsidRPr="008079FE">
        <w:rPr>
          <w:sz w:val="22"/>
          <w:szCs w:val="22"/>
          <w:lang w:val="en-GB"/>
        </w:rPr>
        <w:t xml:space="preserve">or minor changes </w:t>
      </w:r>
      <w:r w:rsidR="006E469C" w:rsidRPr="008079FE">
        <w:rPr>
          <w:sz w:val="22"/>
          <w:szCs w:val="22"/>
          <w:lang w:val="en-GB"/>
        </w:rPr>
        <w:t xml:space="preserve">to the tender dossier shall be published </w:t>
      </w:r>
      <w:r w:rsidR="00BC3573" w:rsidRPr="008079FE">
        <w:rPr>
          <w:sz w:val="22"/>
          <w:szCs w:val="22"/>
          <w:lang w:val="en-GB"/>
        </w:rPr>
        <w:t xml:space="preserve">at the latest 11 days before the submission deadline </w:t>
      </w:r>
      <w:r w:rsidR="006E469C" w:rsidRPr="008079FE">
        <w:rPr>
          <w:sz w:val="22"/>
          <w:szCs w:val="22"/>
          <w:lang w:val="en-GB"/>
        </w:rPr>
        <w:t xml:space="preserve">on the </w:t>
      </w:r>
      <w:bookmarkStart w:id="8" w:name="_Hlk209973381"/>
      <w:r w:rsidR="00B449C6" w:rsidRPr="008079FE">
        <w:rPr>
          <w:color w:val="FF0000"/>
          <w:sz w:val="22"/>
          <w:szCs w:val="22"/>
          <w:lang w:val="en-GB"/>
        </w:rPr>
        <w:fldChar w:fldCharType="begin"/>
      </w:r>
      <w:r w:rsidR="00B449C6" w:rsidRPr="008079FE">
        <w:rPr>
          <w:color w:val="FF0000"/>
          <w:sz w:val="22"/>
          <w:szCs w:val="22"/>
          <w:lang w:val="en-GB"/>
        </w:rPr>
        <w:instrText>HYPERLINK "https://interreg-croatia-serbia.eu/"</w:instrText>
      </w:r>
      <w:r w:rsidR="00B449C6" w:rsidRPr="008079FE">
        <w:rPr>
          <w:color w:val="FF0000"/>
          <w:sz w:val="22"/>
          <w:szCs w:val="22"/>
          <w:lang w:val="en-GB"/>
        </w:rPr>
      </w:r>
      <w:r w:rsidR="00B449C6" w:rsidRPr="008079FE">
        <w:rPr>
          <w:color w:val="FF0000"/>
          <w:sz w:val="22"/>
          <w:szCs w:val="22"/>
          <w:lang w:val="en-GB"/>
        </w:rPr>
        <w:fldChar w:fldCharType="separate"/>
      </w:r>
      <w:r w:rsidR="00B449C6" w:rsidRPr="008079FE">
        <w:rPr>
          <w:rStyle w:val="Hyperlink"/>
          <w:sz w:val="22"/>
          <w:szCs w:val="22"/>
          <w:lang w:val="en-GB"/>
        </w:rPr>
        <w:t>https://interreg-croatia-serbia.eu/</w:t>
      </w:r>
      <w:r w:rsidR="00B449C6" w:rsidRPr="008079FE">
        <w:rPr>
          <w:color w:val="FF0000"/>
          <w:sz w:val="22"/>
          <w:szCs w:val="22"/>
          <w:lang w:val="en-GB"/>
        </w:rPr>
        <w:fldChar w:fldCharType="end"/>
      </w:r>
      <w:r w:rsidR="00B449C6" w:rsidRPr="008079FE">
        <w:rPr>
          <w:sz w:val="22"/>
          <w:szCs w:val="22"/>
          <w:lang w:val="en-GB"/>
        </w:rPr>
        <w:t xml:space="preserve"> </w:t>
      </w:r>
      <w:r w:rsidR="00F505BF" w:rsidRPr="008079FE">
        <w:rPr>
          <w:sz w:val="22"/>
          <w:szCs w:val="22"/>
          <w:lang w:val="en-GB"/>
        </w:rPr>
        <w:t xml:space="preserve">and on the Contracting Authority’s official </w:t>
      </w:r>
      <w:r w:rsidR="00F505BF" w:rsidRPr="008079FE">
        <w:rPr>
          <w:sz w:val="22"/>
          <w:szCs w:val="22"/>
          <w:lang w:val="en-GB"/>
        </w:rPr>
        <w:lastRenderedPageBreak/>
        <w:t>website:</w:t>
      </w:r>
      <w:r w:rsidR="00B449C6" w:rsidRPr="008079FE">
        <w:rPr>
          <w:color w:val="FF0000"/>
          <w:sz w:val="22"/>
          <w:szCs w:val="22"/>
          <w:lang w:val="en-GB"/>
        </w:rPr>
        <w:t xml:space="preserve"> </w:t>
      </w:r>
      <w:hyperlink r:id="rId10" w:history="1">
        <w:r w:rsidR="00B449C6" w:rsidRPr="008079FE">
          <w:rPr>
            <w:rStyle w:val="Hyperlink"/>
            <w:sz w:val="22"/>
            <w:szCs w:val="22"/>
            <w:lang w:val="en-GB"/>
          </w:rPr>
          <w:t>https://dzsombor.rs/s-o-o-s/</w:t>
        </w:r>
      </w:hyperlink>
      <w:bookmarkEnd w:id="8"/>
      <w:r w:rsidR="00B449C6" w:rsidRPr="008079FE">
        <w:rPr>
          <w:color w:val="FF0000"/>
          <w:sz w:val="22"/>
          <w:szCs w:val="22"/>
          <w:lang w:val="en-GB"/>
        </w:rPr>
        <w:t xml:space="preserve">. </w:t>
      </w:r>
    </w:p>
    <w:p w14:paraId="71A3C40A" w14:textId="77777777" w:rsidR="00E23824" w:rsidRPr="008079FE" w:rsidRDefault="00E23824" w:rsidP="00AC2A69">
      <w:pPr>
        <w:numPr>
          <w:ilvl w:val="0"/>
          <w:numId w:val="35"/>
        </w:numPr>
        <w:tabs>
          <w:tab w:val="clear" w:pos="644"/>
          <w:tab w:val="num" w:pos="709"/>
        </w:tabs>
        <w:ind w:left="709" w:right="1" w:hanging="425"/>
        <w:jc w:val="both"/>
        <w:outlineLvl w:val="0"/>
        <w:rPr>
          <w:rStyle w:val="Strong"/>
          <w:szCs w:val="24"/>
          <w:lang w:val="en-GB"/>
        </w:rPr>
      </w:pPr>
      <w:r w:rsidRPr="008079FE">
        <w:rPr>
          <w:rStyle w:val="Strong"/>
          <w:szCs w:val="24"/>
          <w:lang w:val="en-GB"/>
        </w:rPr>
        <w:t>Deadline for submission of tenders</w:t>
      </w:r>
    </w:p>
    <w:p w14:paraId="5A1661B0" w14:textId="0FE91B47" w:rsidR="00B449C6" w:rsidRPr="008079FE" w:rsidRDefault="00B449C6" w:rsidP="00B449C6">
      <w:pPr>
        <w:pStyle w:val="Blockquote"/>
        <w:ind w:left="644" w:right="1"/>
        <w:jc w:val="both"/>
        <w:rPr>
          <w:rStyle w:val="Emphasis"/>
          <w:i w:val="0"/>
          <w:sz w:val="22"/>
          <w:szCs w:val="22"/>
          <w:lang w:val="en-GB"/>
        </w:rPr>
      </w:pPr>
      <w:bookmarkStart w:id="9" w:name="_Hlk129674360"/>
      <w:r w:rsidRPr="008079FE">
        <w:rPr>
          <w:sz w:val="22"/>
          <w:szCs w:val="22"/>
          <w:lang w:val="en-GB"/>
        </w:rPr>
        <w:t xml:space="preserve">13:00h local time (Central European time) on </w:t>
      </w:r>
      <w:r w:rsidR="00B9402B">
        <w:rPr>
          <w:sz w:val="22"/>
          <w:szCs w:val="22"/>
          <w:lang w:val="en-GB"/>
        </w:rPr>
        <w:t>2</w:t>
      </w:r>
      <w:r w:rsidR="008079FE" w:rsidRPr="008079FE">
        <w:rPr>
          <w:sz w:val="22"/>
          <w:szCs w:val="22"/>
          <w:lang w:val="en-GB"/>
        </w:rPr>
        <w:t>3</w:t>
      </w:r>
      <w:r w:rsidRPr="008079FE">
        <w:rPr>
          <w:sz w:val="22"/>
          <w:szCs w:val="22"/>
          <w:lang w:val="en-GB"/>
        </w:rPr>
        <w:t>.</w:t>
      </w:r>
      <w:r w:rsidR="008079FE" w:rsidRPr="008079FE">
        <w:rPr>
          <w:sz w:val="22"/>
          <w:szCs w:val="22"/>
          <w:lang w:val="en-GB"/>
        </w:rPr>
        <w:t>03</w:t>
      </w:r>
      <w:r w:rsidRPr="008079FE">
        <w:rPr>
          <w:sz w:val="22"/>
          <w:szCs w:val="22"/>
          <w:lang w:val="en-GB"/>
        </w:rPr>
        <w:t>.202</w:t>
      </w:r>
      <w:r w:rsidR="008079FE" w:rsidRPr="008079FE">
        <w:rPr>
          <w:sz w:val="22"/>
          <w:szCs w:val="22"/>
          <w:lang w:val="en-GB"/>
        </w:rPr>
        <w:t>6</w:t>
      </w:r>
      <w:r w:rsidRPr="008079FE">
        <w:rPr>
          <w:sz w:val="22"/>
          <w:szCs w:val="22"/>
          <w:lang w:val="en-GB"/>
        </w:rPr>
        <w:t xml:space="preserve">. </w:t>
      </w:r>
      <w:bookmarkEnd w:id="9"/>
    </w:p>
    <w:p w14:paraId="479A0112" w14:textId="77777777" w:rsidR="00E23824" w:rsidRPr="008079FE" w:rsidRDefault="00E23824" w:rsidP="00AC2A69">
      <w:pPr>
        <w:pStyle w:val="Blockquote"/>
        <w:ind w:left="709" w:right="1"/>
        <w:jc w:val="both"/>
        <w:rPr>
          <w:sz w:val="22"/>
          <w:szCs w:val="22"/>
          <w:lang w:val="en-GB"/>
        </w:rPr>
      </w:pPr>
      <w:r w:rsidRPr="008079FE">
        <w:rPr>
          <w:sz w:val="22"/>
          <w:szCs w:val="22"/>
          <w:lang w:val="en-GB"/>
        </w:rPr>
        <w:t xml:space="preserve">Any tender received </w:t>
      </w:r>
      <w:r w:rsidR="000479E1" w:rsidRPr="008079FE">
        <w:rPr>
          <w:sz w:val="22"/>
          <w:szCs w:val="22"/>
          <w:lang w:val="en-GB"/>
        </w:rPr>
        <w:t xml:space="preserve">by the </w:t>
      </w:r>
      <w:r w:rsidR="00EC6129" w:rsidRPr="008079FE">
        <w:rPr>
          <w:sz w:val="22"/>
          <w:szCs w:val="22"/>
          <w:lang w:val="en-GB"/>
        </w:rPr>
        <w:t>Project partner</w:t>
      </w:r>
      <w:r w:rsidR="000479E1" w:rsidRPr="008079FE">
        <w:rPr>
          <w:sz w:val="22"/>
          <w:szCs w:val="22"/>
          <w:lang w:val="en-GB"/>
        </w:rPr>
        <w:t xml:space="preserve"> </w:t>
      </w:r>
      <w:r w:rsidRPr="008079FE">
        <w:rPr>
          <w:sz w:val="22"/>
          <w:szCs w:val="22"/>
          <w:lang w:val="en-GB"/>
        </w:rPr>
        <w:t>after this deadline will not be considered.</w:t>
      </w:r>
    </w:p>
    <w:p w14:paraId="7A27DCA3" w14:textId="77777777" w:rsidR="00E23824" w:rsidRPr="008079FE" w:rsidRDefault="00E23824" w:rsidP="00AC2A69">
      <w:pPr>
        <w:numPr>
          <w:ilvl w:val="0"/>
          <w:numId w:val="35"/>
        </w:numPr>
        <w:tabs>
          <w:tab w:val="clear" w:pos="644"/>
          <w:tab w:val="num" w:pos="709"/>
        </w:tabs>
        <w:ind w:left="709" w:right="1" w:hanging="425"/>
        <w:jc w:val="both"/>
        <w:outlineLvl w:val="0"/>
        <w:rPr>
          <w:rStyle w:val="Strong"/>
          <w:szCs w:val="24"/>
          <w:lang w:val="en-GB"/>
        </w:rPr>
      </w:pPr>
      <w:r w:rsidRPr="008079FE">
        <w:rPr>
          <w:rStyle w:val="Strong"/>
          <w:szCs w:val="24"/>
          <w:lang w:val="en-GB"/>
        </w:rPr>
        <w:t>Tender opening session</w:t>
      </w:r>
    </w:p>
    <w:p w14:paraId="664855E5" w14:textId="4D2EF0FE" w:rsidR="004D3B07" w:rsidRPr="008079FE" w:rsidRDefault="00B449C6" w:rsidP="00AC2A69">
      <w:pPr>
        <w:pStyle w:val="Blockquote"/>
        <w:ind w:left="644" w:right="1"/>
        <w:jc w:val="both"/>
        <w:rPr>
          <w:sz w:val="22"/>
          <w:szCs w:val="22"/>
          <w:lang w:val="en-GB"/>
        </w:rPr>
      </w:pPr>
      <w:r w:rsidRPr="008079FE">
        <w:rPr>
          <w:sz w:val="22"/>
          <w:szCs w:val="22"/>
          <w:lang w:val="en-GB"/>
        </w:rPr>
        <w:t xml:space="preserve">09:00h local time (Central European time) on </w:t>
      </w:r>
      <w:r w:rsidR="00B9402B">
        <w:rPr>
          <w:sz w:val="22"/>
          <w:szCs w:val="22"/>
          <w:lang w:val="en-GB"/>
        </w:rPr>
        <w:t>24</w:t>
      </w:r>
      <w:r w:rsidRPr="008079FE">
        <w:rPr>
          <w:sz w:val="22"/>
          <w:szCs w:val="22"/>
          <w:lang w:val="en-GB"/>
        </w:rPr>
        <w:t>.</w:t>
      </w:r>
      <w:r w:rsidR="008079FE" w:rsidRPr="008079FE">
        <w:rPr>
          <w:sz w:val="22"/>
          <w:szCs w:val="22"/>
          <w:lang w:val="en-GB"/>
        </w:rPr>
        <w:t>03</w:t>
      </w:r>
      <w:r w:rsidRPr="008079FE">
        <w:rPr>
          <w:sz w:val="22"/>
          <w:szCs w:val="22"/>
          <w:lang w:val="en-GB"/>
        </w:rPr>
        <w:t>.202</w:t>
      </w:r>
      <w:r w:rsidR="008079FE" w:rsidRPr="008079FE">
        <w:rPr>
          <w:sz w:val="22"/>
          <w:szCs w:val="22"/>
          <w:lang w:val="en-GB"/>
        </w:rPr>
        <w:t>6</w:t>
      </w:r>
      <w:r w:rsidRPr="008079FE">
        <w:rPr>
          <w:sz w:val="22"/>
          <w:szCs w:val="22"/>
          <w:lang w:val="en-GB"/>
        </w:rPr>
        <w:t xml:space="preserve">, at the premisses of Contracting Authority: </w:t>
      </w:r>
      <w:r w:rsidR="00504AE3" w:rsidRPr="008079FE">
        <w:rPr>
          <w:sz w:val="22"/>
          <w:szCs w:val="22"/>
          <w:lang w:val="en-GB"/>
        </w:rPr>
        <w:t xml:space="preserve">Dom Zdravlja </w:t>
      </w:r>
      <w:r w:rsidRPr="008079FE">
        <w:rPr>
          <w:sz w:val="22"/>
          <w:szCs w:val="22"/>
          <w:lang w:val="en-GB"/>
        </w:rPr>
        <w:t xml:space="preserve">“Dr. Đorđe Lazić” Sombor,  Mirna 3, 25000 Sombor, Republic of Serbia. </w:t>
      </w:r>
    </w:p>
    <w:p w14:paraId="23B841D0" w14:textId="725C7E9A" w:rsidR="00F505BF" w:rsidRPr="008079FE" w:rsidRDefault="00F505BF" w:rsidP="00F505BF">
      <w:pPr>
        <w:pStyle w:val="Blockquote"/>
        <w:ind w:left="644" w:right="1"/>
        <w:jc w:val="both"/>
        <w:rPr>
          <w:sz w:val="22"/>
          <w:szCs w:val="22"/>
          <w:lang w:val="en-GB"/>
        </w:rPr>
      </w:pPr>
      <w:r w:rsidRPr="008079FE">
        <w:rPr>
          <w:sz w:val="22"/>
          <w:szCs w:val="22"/>
          <w:lang w:val="en-GB"/>
        </w:rPr>
        <w:t>Please note that participation at the tender opening session is restricted to authorised representatives of the companies that are tendering for the contract. Each representative will have to submit the document of authorisation.</w:t>
      </w:r>
    </w:p>
    <w:p w14:paraId="001415A0" w14:textId="77777777" w:rsidR="0021431B" w:rsidRPr="008079FE" w:rsidRDefault="0021431B" w:rsidP="00AC2A69">
      <w:pPr>
        <w:numPr>
          <w:ilvl w:val="0"/>
          <w:numId w:val="35"/>
        </w:numPr>
        <w:tabs>
          <w:tab w:val="clear" w:pos="644"/>
          <w:tab w:val="num" w:pos="709"/>
        </w:tabs>
        <w:ind w:left="709" w:right="1" w:hanging="425"/>
        <w:jc w:val="both"/>
        <w:outlineLvl w:val="0"/>
        <w:rPr>
          <w:rStyle w:val="Strong"/>
          <w:szCs w:val="24"/>
          <w:lang w:val="en-GB"/>
        </w:rPr>
      </w:pPr>
      <w:r w:rsidRPr="008079FE">
        <w:rPr>
          <w:rStyle w:val="Strong"/>
          <w:szCs w:val="24"/>
          <w:lang w:val="en-GB"/>
        </w:rPr>
        <w:t>Language of the procedure</w:t>
      </w:r>
    </w:p>
    <w:p w14:paraId="1D8E5007" w14:textId="38B47E8C" w:rsidR="0021431B" w:rsidRPr="008079FE" w:rsidRDefault="0021431B" w:rsidP="00AC2A69">
      <w:pPr>
        <w:pStyle w:val="Blockquote"/>
        <w:ind w:left="709" w:right="1"/>
        <w:jc w:val="both"/>
        <w:rPr>
          <w:i/>
          <w:sz w:val="22"/>
          <w:szCs w:val="22"/>
          <w:lang w:val="en-GB"/>
        </w:rPr>
      </w:pPr>
      <w:r w:rsidRPr="008079FE">
        <w:rPr>
          <w:rStyle w:val="Emphasis"/>
          <w:i w:val="0"/>
          <w:sz w:val="22"/>
          <w:szCs w:val="22"/>
          <w:lang w:val="en-GB"/>
        </w:rPr>
        <w:t xml:space="preserve">All written communications for this tender procedure and contract must be </w:t>
      </w:r>
      <w:r w:rsidR="00013432" w:rsidRPr="008079FE">
        <w:rPr>
          <w:rStyle w:val="Emphasis"/>
          <w:i w:val="0"/>
          <w:sz w:val="22"/>
          <w:szCs w:val="22"/>
          <w:lang w:val="en-GB"/>
        </w:rPr>
        <w:t>in English</w:t>
      </w:r>
      <w:r w:rsidRPr="008079FE">
        <w:rPr>
          <w:rStyle w:val="Emphasis"/>
          <w:i w:val="0"/>
          <w:sz w:val="22"/>
          <w:szCs w:val="22"/>
          <w:lang w:val="en-GB"/>
        </w:rPr>
        <w:t>.</w:t>
      </w:r>
      <w:r w:rsidR="00F274BD" w:rsidRPr="008079FE">
        <w:rPr>
          <w:rStyle w:val="Emphasis"/>
          <w:i w:val="0"/>
          <w:sz w:val="22"/>
          <w:szCs w:val="22"/>
          <w:lang w:val="en-GB"/>
        </w:rPr>
        <w:t xml:space="preserve"> </w:t>
      </w:r>
    </w:p>
    <w:p w14:paraId="77A0D929" w14:textId="77777777" w:rsidR="00E23824" w:rsidRPr="008079FE" w:rsidRDefault="00E23824" w:rsidP="00AC2A69">
      <w:pPr>
        <w:numPr>
          <w:ilvl w:val="0"/>
          <w:numId w:val="35"/>
        </w:numPr>
        <w:tabs>
          <w:tab w:val="clear" w:pos="644"/>
          <w:tab w:val="num" w:pos="709"/>
        </w:tabs>
        <w:ind w:left="709" w:right="1" w:hanging="425"/>
        <w:jc w:val="both"/>
        <w:outlineLvl w:val="0"/>
        <w:rPr>
          <w:rStyle w:val="Strong"/>
          <w:szCs w:val="24"/>
          <w:lang w:val="en-GB"/>
        </w:rPr>
      </w:pPr>
      <w:r w:rsidRPr="008079FE">
        <w:rPr>
          <w:rStyle w:val="Strong"/>
          <w:szCs w:val="24"/>
          <w:lang w:val="en-GB"/>
        </w:rPr>
        <w:t>Legal basis</w:t>
      </w:r>
      <w:r w:rsidR="000E3C60" w:rsidRPr="008079FE">
        <w:rPr>
          <w:rStyle w:val="FootnoteReference"/>
          <w:b/>
          <w:szCs w:val="24"/>
          <w:lang w:val="en-GB"/>
        </w:rPr>
        <w:footnoteReference w:id="1"/>
      </w:r>
    </w:p>
    <w:p w14:paraId="60CE7DC7" w14:textId="77777777" w:rsidR="00C7733C" w:rsidRPr="008079FE"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lang w:val="en-GB"/>
        </w:rPr>
      </w:pPr>
      <w:r w:rsidRPr="008079FE">
        <w:rPr>
          <w:rFonts w:ascii="Times New Roman" w:hAnsi="Times New Roman"/>
          <w:color w:val="000000"/>
          <w:lang w:val="en-GB"/>
        </w:rPr>
        <w:t xml:space="preserve">Regulation (EU) 2021/1059 of the European Parliament and of the Council of 24 June 2021 on specific provisions for the European territorial cooperation goal (Interreg) supported by the European Regional Development Fund and external financing instruments (Interreg Regulation), </w:t>
      </w:r>
    </w:p>
    <w:p w14:paraId="6CBC28C3" w14:textId="77777777" w:rsidR="00C7733C" w:rsidRPr="008079FE"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lang w:val="en-GB"/>
        </w:rPr>
      </w:pPr>
      <w:r w:rsidRPr="008079FE">
        <w:rPr>
          <w:rFonts w:ascii="Times New Roman" w:hAnsi="Times New Roman"/>
          <w:color w:val="000000"/>
          <w:lang w:val="en-GB"/>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0974A925" w14:textId="0F228DCD" w:rsidR="00C7733C" w:rsidRPr="008079FE"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lang w:val="en-GB"/>
        </w:rPr>
      </w:pPr>
      <w:r w:rsidRPr="008079FE">
        <w:rPr>
          <w:rFonts w:ascii="Times New Roman" w:hAnsi="Times New Roman"/>
          <w:color w:val="000000"/>
          <w:lang w:val="en-GB"/>
        </w:rPr>
        <w:t xml:space="preserve">Interreg VI-A IPA programme Croatia – </w:t>
      </w:r>
      <w:r w:rsidR="00BB7BC9" w:rsidRPr="008079FE">
        <w:rPr>
          <w:rFonts w:ascii="Times New Roman" w:hAnsi="Times New Roman"/>
          <w:color w:val="000000"/>
          <w:lang w:val="en-GB"/>
        </w:rPr>
        <w:t>Serbia</w:t>
      </w:r>
      <w:r w:rsidRPr="008079FE">
        <w:rPr>
          <w:rFonts w:ascii="Times New Roman" w:hAnsi="Times New Roman"/>
          <w:color w:val="000000"/>
          <w:lang w:val="en-GB"/>
        </w:rPr>
        <w:t>.</w:t>
      </w:r>
    </w:p>
    <w:p w14:paraId="59003112" w14:textId="77777777" w:rsidR="000F23E5" w:rsidRPr="008079FE" w:rsidRDefault="000F23E5" w:rsidP="009C235D">
      <w:pPr>
        <w:pStyle w:val="Blockquote"/>
        <w:spacing w:before="120" w:after="0"/>
        <w:ind w:left="0" w:right="1"/>
        <w:jc w:val="both"/>
        <w:rPr>
          <w:sz w:val="22"/>
          <w:szCs w:val="22"/>
          <w:lang w:val="en-GB"/>
        </w:rPr>
      </w:pPr>
    </w:p>
    <w:p w14:paraId="0A5A3FD4" w14:textId="0EAC3D87" w:rsidR="00F964EE" w:rsidRPr="008079FE" w:rsidRDefault="00D571DA" w:rsidP="00AC2A69">
      <w:pPr>
        <w:numPr>
          <w:ilvl w:val="0"/>
          <w:numId w:val="35"/>
        </w:numPr>
        <w:tabs>
          <w:tab w:val="clear" w:pos="644"/>
          <w:tab w:val="num" w:pos="709"/>
        </w:tabs>
        <w:ind w:left="709" w:right="1" w:hanging="425"/>
        <w:jc w:val="both"/>
        <w:outlineLvl w:val="0"/>
        <w:rPr>
          <w:rStyle w:val="Strong"/>
          <w:szCs w:val="24"/>
          <w:lang w:val="en-GB"/>
        </w:rPr>
      </w:pPr>
      <w:r w:rsidRPr="008079FE" w:rsidDel="00D571DA">
        <w:rPr>
          <w:sz w:val="22"/>
          <w:szCs w:val="22"/>
          <w:lang w:val="en-GB"/>
        </w:rPr>
        <w:t xml:space="preserve"> </w:t>
      </w:r>
      <w:r w:rsidR="00F964EE" w:rsidRPr="008079FE">
        <w:rPr>
          <w:rStyle w:val="Strong"/>
          <w:szCs w:val="24"/>
          <w:lang w:val="en-GB"/>
        </w:rPr>
        <w:t>Additional information</w:t>
      </w:r>
    </w:p>
    <w:p w14:paraId="434F4B3B" w14:textId="53EAFE0D" w:rsidR="00F964EE" w:rsidRPr="008079FE" w:rsidRDefault="00F505BF" w:rsidP="001F6C29">
      <w:pPr>
        <w:pStyle w:val="Blockquote"/>
        <w:ind w:left="644" w:right="1"/>
        <w:jc w:val="both"/>
        <w:rPr>
          <w:iCs/>
          <w:sz w:val="22"/>
          <w:szCs w:val="22"/>
          <w:lang w:val="en-GB"/>
        </w:rPr>
      </w:pPr>
      <w:r w:rsidRPr="008079FE">
        <w:rPr>
          <w:iCs/>
          <w:sz w:val="22"/>
          <w:szCs w:val="22"/>
          <w:lang w:val="en-GB"/>
        </w:rPr>
        <w:t>Not applicable.</w:t>
      </w:r>
    </w:p>
    <w:sectPr w:rsidR="00F964EE" w:rsidRPr="008079FE" w:rsidSect="00B41887">
      <w:headerReference w:type="default" r:id="rId11"/>
      <w:footerReference w:type="even" r:id="rId12"/>
      <w:pgSz w:w="11907" w:h="16839" w:code="9"/>
      <w:pgMar w:top="1417" w:right="1417" w:bottom="1417" w:left="1417" w:header="1440" w:footer="53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7333" w14:textId="77777777" w:rsidR="00683327" w:rsidRDefault="00683327">
      <w:r>
        <w:separator/>
      </w:r>
    </w:p>
  </w:endnote>
  <w:endnote w:type="continuationSeparator" w:id="0">
    <w:p w14:paraId="6025457E" w14:textId="77777777" w:rsidR="00683327" w:rsidRDefault="0068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3D0" w14:textId="77777777" w:rsidR="00E1322F" w:rsidRDefault="00E1322F" w:rsidP="00A5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AB709" w14:textId="77777777" w:rsidR="00E1322F" w:rsidRDefault="00E1322F" w:rsidP="00AA6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8CCC" w14:textId="77777777" w:rsidR="00683327" w:rsidRDefault="00683327">
      <w:r>
        <w:separator/>
      </w:r>
    </w:p>
  </w:footnote>
  <w:footnote w:type="continuationSeparator" w:id="0">
    <w:p w14:paraId="51D9E08E" w14:textId="77777777" w:rsidR="00683327" w:rsidRDefault="00683327">
      <w:r>
        <w:continuationSeparator/>
      </w:r>
    </w:p>
  </w:footnote>
  <w:footnote w:id="1">
    <w:p w14:paraId="1425244E" w14:textId="77777777" w:rsidR="000E3C60" w:rsidRPr="000F28BC" w:rsidRDefault="000E3C60" w:rsidP="00A506DB">
      <w:pPr>
        <w:pStyle w:val="FootnoteText"/>
        <w:ind w:left="142" w:hanging="142"/>
        <w:rPr>
          <w:lang w:val="en-GB"/>
        </w:rPr>
      </w:pPr>
      <w:r>
        <w:rPr>
          <w:rStyle w:val="FootnoteReference"/>
        </w:rPr>
        <w:footnoteRef/>
      </w:r>
      <w:r w:rsidR="00A506DB">
        <w:tab/>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9D4" w14:textId="64556228" w:rsidR="00EC6129" w:rsidRPr="00C7733C" w:rsidRDefault="00A56D45" w:rsidP="00C7733C">
    <w:pPr>
      <w:rPr>
        <w:b/>
        <w:bCs/>
        <w:sz w:val="20"/>
        <w:lang w:val="en-GB"/>
      </w:rPr>
    </w:pPr>
    <w:r>
      <w:rPr>
        <w:noProof/>
        <w:snapToGrid/>
      </w:rPr>
      <w:drawing>
        <wp:inline distT="0" distB="0" distL="0" distR="0" wp14:anchorId="3AA38567" wp14:editId="2E419756">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6F07D7B"/>
    <w:multiLevelType w:val="hybridMultilevel"/>
    <w:tmpl w:val="5BB0D7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4"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19E3ADF"/>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7"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D3C3DD8"/>
    <w:multiLevelType w:val="hybridMultilevel"/>
    <w:tmpl w:val="A3B00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84688D"/>
    <w:multiLevelType w:val="multilevel"/>
    <w:tmpl w:val="E0DE28C0"/>
    <w:lvl w:ilvl="0">
      <w:start w:val="1"/>
      <w:numFmt w:val="decimal"/>
      <w:pStyle w:val="Heading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rPr>
    </w:lvl>
    <w:lvl w:ilvl="1">
      <w:start w:val="1"/>
      <w:numFmt w:val="decimal"/>
      <w:pStyle w:val="Heading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1" w15:restartNumberingAfterBreak="0">
    <w:nsid w:val="719F3E87"/>
    <w:multiLevelType w:val="hybridMultilevel"/>
    <w:tmpl w:val="2938962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2" w15:restartNumberingAfterBreak="0">
    <w:nsid w:val="71F51B22"/>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0E51D3"/>
    <w:multiLevelType w:val="hybridMultilevel"/>
    <w:tmpl w:val="B2227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16cid:durableId="1379747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8481044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013036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4023372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66547367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00673738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18721076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2865398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0880802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63422048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72171238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73500315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34763646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43092579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034649077">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52116307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1668822483">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281155825">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2062242738">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311443344">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367176793">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515077629">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653868802">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90756531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854951978">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658074245">
    <w:abstractNumId w:val="0"/>
    <w:lvlOverride w:ilvl="0">
      <w:lvl w:ilvl="0">
        <w:numFmt w:val="bullet"/>
        <w:lvlText w:val=""/>
        <w:lvlJc w:val="left"/>
        <w:pPr>
          <w:ind w:left="720" w:hanging="360"/>
        </w:pPr>
        <w:rPr>
          <w:rFonts w:ascii="Times New Roman" w:hAnsi="Times New Roman" w:hint="default"/>
        </w:rPr>
      </w:lvl>
    </w:lvlOverride>
  </w:num>
  <w:num w:numId="27" w16cid:durableId="1224370997">
    <w:abstractNumId w:val="38"/>
  </w:num>
  <w:num w:numId="28" w16cid:durableId="1308319390">
    <w:abstractNumId w:val="29"/>
  </w:num>
  <w:num w:numId="29" w16cid:durableId="1877038209">
    <w:abstractNumId w:val="28"/>
  </w:num>
  <w:num w:numId="30" w16cid:durableId="493688048">
    <w:abstractNumId w:val="31"/>
  </w:num>
  <w:num w:numId="31" w16cid:durableId="1489443689">
    <w:abstractNumId w:val="0"/>
    <w:lvlOverride w:ilvl="0">
      <w:lvl w:ilvl="0">
        <w:numFmt w:val="bullet"/>
        <w:lvlText w:val=""/>
        <w:legacy w:legacy="1" w:legacySpace="0" w:legacyIndent="360"/>
        <w:lvlJc w:val="left"/>
        <w:pPr>
          <w:ind w:left="0" w:hanging="360"/>
        </w:pPr>
        <w:rPr>
          <w:rFonts w:ascii="Symbol" w:hAnsi="Symbol" w:hint="default"/>
        </w:rPr>
      </w:lvl>
    </w:lvlOverride>
  </w:num>
  <w:num w:numId="32" w16cid:durableId="1309440619">
    <w:abstractNumId w:val="33"/>
  </w:num>
  <w:num w:numId="33" w16cid:durableId="763302495">
    <w:abstractNumId w:val="30"/>
  </w:num>
  <w:num w:numId="34" w16cid:durableId="730543578">
    <w:abstractNumId w:val="27"/>
  </w:num>
  <w:num w:numId="35" w16cid:durableId="1446459236">
    <w:abstractNumId w:val="34"/>
  </w:num>
  <w:num w:numId="36" w16cid:durableId="509226150">
    <w:abstractNumId w:val="44"/>
  </w:num>
  <w:num w:numId="37" w16cid:durableId="1633630483">
    <w:abstractNumId w:val="32"/>
  </w:num>
  <w:num w:numId="38" w16cid:durableId="1250769963">
    <w:abstractNumId w:val="36"/>
  </w:num>
  <w:num w:numId="39" w16cid:durableId="1902210336">
    <w:abstractNumId w:val="40"/>
  </w:num>
  <w:num w:numId="40" w16cid:durableId="823742114">
    <w:abstractNumId w:val="42"/>
  </w:num>
  <w:num w:numId="41" w16cid:durableId="1773042866">
    <w:abstractNumId w:val="37"/>
  </w:num>
  <w:num w:numId="42" w16cid:durableId="1600139927">
    <w:abstractNumId w:val="39"/>
  </w:num>
  <w:num w:numId="43" w16cid:durableId="1150053284">
    <w:abstractNumId w:val="41"/>
  </w:num>
  <w:num w:numId="44" w16cid:durableId="1833330048">
    <w:abstractNumId w:val="43"/>
  </w:num>
  <w:num w:numId="45" w16cid:durableId="216551378">
    <w:abstractNumId w:val="35"/>
  </w:num>
  <w:num w:numId="46" w16cid:durableId="1547990178">
    <w:abstractNumId w:val="28"/>
  </w:num>
  <w:num w:numId="47" w16cid:durableId="863901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1583"/>
    <w:rsid w:val="00001274"/>
    <w:rsid w:val="00002CAA"/>
    <w:rsid w:val="00003B9B"/>
    <w:rsid w:val="000052CE"/>
    <w:rsid w:val="00013432"/>
    <w:rsid w:val="00013673"/>
    <w:rsid w:val="00021ECF"/>
    <w:rsid w:val="00025815"/>
    <w:rsid w:val="000276DD"/>
    <w:rsid w:val="00027794"/>
    <w:rsid w:val="00030E59"/>
    <w:rsid w:val="0003151B"/>
    <w:rsid w:val="000356F7"/>
    <w:rsid w:val="00036B32"/>
    <w:rsid w:val="0003751D"/>
    <w:rsid w:val="000409ED"/>
    <w:rsid w:val="0004450C"/>
    <w:rsid w:val="000479E1"/>
    <w:rsid w:val="000500E4"/>
    <w:rsid w:val="00065477"/>
    <w:rsid w:val="00071260"/>
    <w:rsid w:val="0007206C"/>
    <w:rsid w:val="0007249F"/>
    <w:rsid w:val="000739E4"/>
    <w:rsid w:val="000853AF"/>
    <w:rsid w:val="00096028"/>
    <w:rsid w:val="000B3E45"/>
    <w:rsid w:val="000B6767"/>
    <w:rsid w:val="000B76C2"/>
    <w:rsid w:val="000C3F45"/>
    <w:rsid w:val="000D1202"/>
    <w:rsid w:val="000D33A8"/>
    <w:rsid w:val="000E3C60"/>
    <w:rsid w:val="000E6F0A"/>
    <w:rsid w:val="000F23E5"/>
    <w:rsid w:val="000F28BC"/>
    <w:rsid w:val="000F7479"/>
    <w:rsid w:val="0010079C"/>
    <w:rsid w:val="0010780A"/>
    <w:rsid w:val="001113A9"/>
    <w:rsid w:val="00111B24"/>
    <w:rsid w:val="00112DCF"/>
    <w:rsid w:val="00113EC8"/>
    <w:rsid w:val="001209A2"/>
    <w:rsid w:val="0012104D"/>
    <w:rsid w:val="00121DF3"/>
    <w:rsid w:val="0013395D"/>
    <w:rsid w:val="00140C26"/>
    <w:rsid w:val="00145394"/>
    <w:rsid w:val="001462B0"/>
    <w:rsid w:val="0016164B"/>
    <w:rsid w:val="00165237"/>
    <w:rsid w:val="001709FB"/>
    <w:rsid w:val="001738C1"/>
    <w:rsid w:val="0018409D"/>
    <w:rsid w:val="00186E83"/>
    <w:rsid w:val="00196D65"/>
    <w:rsid w:val="001A625B"/>
    <w:rsid w:val="001B6522"/>
    <w:rsid w:val="001C60D3"/>
    <w:rsid w:val="001C6EF5"/>
    <w:rsid w:val="001D3391"/>
    <w:rsid w:val="001D3C3E"/>
    <w:rsid w:val="001D63EB"/>
    <w:rsid w:val="001D65DB"/>
    <w:rsid w:val="001E1C04"/>
    <w:rsid w:val="001E2E7F"/>
    <w:rsid w:val="001E47B4"/>
    <w:rsid w:val="001E606D"/>
    <w:rsid w:val="001E7B40"/>
    <w:rsid w:val="001F2CF9"/>
    <w:rsid w:val="001F6C29"/>
    <w:rsid w:val="00200008"/>
    <w:rsid w:val="0020037B"/>
    <w:rsid w:val="00201DD4"/>
    <w:rsid w:val="00203C3D"/>
    <w:rsid w:val="0020728C"/>
    <w:rsid w:val="00207B5C"/>
    <w:rsid w:val="002116E1"/>
    <w:rsid w:val="0021431B"/>
    <w:rsid w:val="00226AAC"/>
    <w:rsid w:val="00232FE7"/>
    <w:rsid w:val="00233A96"/>
    <w:rsid w:val="00236399"/>
    <w:rsid w:val="0024766C"/>
    <w:rsid w:val="00247CE9"/>
    <w:rsid w:val="002506F4"/>
    <w:rsid w:val="00252841"/>
    <w:rsid w:val="00265345"/>
    <w:rsid w:val="00281A2D"/>
    <w:rsid w:val="00286429"/>
    <w:rsid w:val="0029238F"/>
    <w:rsid w:val="00293121"/>
    <w:rsid w:val="002A274D"/>
    <w:rsid w:val="002A5E19"/>
    <w:rsid w:val="002B09FA"/>
    <w:rsid w:val="002B405E"/>
    <w:rsid w:val="002C1960"/>
    <w:rsid w:val="002C6607"/>
    <w:rsid w:val="002D3376"/>
    <w:rsid w:val="002E3C0E"/>
    <w:rsid w:val="002F2BB0"/>
    <w:rsid w:val="002F2E08"/>
    <w:rsid w:val="002F5817"/>
    <w:rsid w:val="00304115"/>
    <w:rsid w:val="00314BB2"/>
    <w:rsid w:val="003152E6"/>
    <w:rsid w:val="00323F49"/>
    <w:rsid w:val="00331DE3"/>
    <w:rsid w:val="003403E6"/>
    <w:rsid w:val="003466C7"/>
    <w:rsid w:val="003479A1"/>
    <w:rsid w:val="00352BD7"/>
    <w:rsid w:val="0035671A"/>
    <w:rsid w:val="00357322"/>
    <w:rsid w:val="00361097"/>
    <w:rsid w:val="00361FA0"/>
    <w:rsid w:val="00362F0A"/>
    <w:rsid w:val="0036440A"/>
    <w:rsid w:val="00365943"/>
    <w:rsid w:val="00371CF7"/>
    <w:rsid w:val="00374F70"/>
    <w:rsid w:val="00375879"/>
    <w:rsid w:val="0038267A"/>
    <w:rsid w:val="00394974"/>
    <w:rsid w:val="0039698B"/>
    <w:rsid w:val="003A4AA0"/>
    <w:rsid w:val="003A4D6E"/>
    <w:rsid w:val="003A5DD8"/>
    <w:rsid w:val="003C1681"/>
    <w:rsid w:val="003C611E"/>
    <w:rsid w:val="003C6460"/>
    <w:rsid w:val="003C7D7B"/>
    <w:rsid w:val="003D05B6"/>
    <w:rsid w:val="003D56FD"/>
    <w:rsid w:val="003D7652"/>
    <w:rsid w:val="003E20A9"/>
    <w:rsid w:val="003E2A27"/>
    <w:rsid w:val="003E3386"/>
    <w:rsid w:val="003E4EE5"/>
    <w:rsid w:val="003F1149"/>
    <w:rsid w:val="004008A2"/>
    <w:rsid w:val="00403FD1"/>
    <w:rsid w:val="004127FB"/>
    <w:rsid w:val="00416ECF"/>
    <w:rsid w:val="0041770C"/>
    <w:rsid w:val="00427DAE"/>
    <w:rsid w:val="0043250C"/>
    <w:rsid w:val="00450F3C"/>
    <w:rsid w:val="00454F08"/>
    <w:rsid w:val="0046639B"/>
    <w:rsid w:val="004668A3"/>
    <w:rsid w:val="00473FC7"/>
    <w:rsid w:val="0049408B"/>
    <w:rsid w:val="004A0804"/>
    <w:rsid w:val="004B2A95"/>
    <w:rsid w:val="004B3E82"/>
    <w:rsid w:val="004B7DBA"/>
    <w:rsid w:val="004C1967"/>
    <w:rsid w:val="004C2C84"/>
    <w:rsid w:val="004D029F"/>
    <w:rsid w:val="004D05B9"/>
    <w:rsid w:val="004D3B07"/>
    <w:rsid w:val="004D5215"/>
    <w:rsid w:val="004D7497"/>
    <w:rsid w:val="004E3838"/>
    <w:rsid w:val="004E50C2"/>
    <w:rsid w:val="004E5437"/>
    <w:rsid w:val="00504AE3"/>
    <w:rsid w:val="00504C12"/>
    <w:rsid w:val="00505A18"/>
    <w:rsid w:val="005067DE"/>
    <w:rsid w:val="005100BA"/>
    <w:rsid w:val="00517B74"/>
    <w:rsid w:val="00531CD3"/>
    <w:rsid w:val="00531FAC"/>
    <w:rsid w:val="00534142"/>
    <w:rsid w:val="005348DB"/>
    <w:rsid w:val="005400B1"/>
    <w:rsid w:val="00540A8D"/>
    <w:rsid w:val="005419ED"/>
    <w:rsid w:val="00543645"/>
    <w:rsid w:val="00544ABD"/>
    <w:rsid w:val="00545E82"/>
    <w:rsid w:val="00546277"/>
    <w:rsid w:val="00551103"/>
    <w:rsid w:val="00560CD6"/>
    <w:rsid w:val="00561A4D"/>
    <w:rsid w:val="00562B3F"/>
    <w:rsid w:val="00564E88"/>
    <w:rsid w:val="00566935"/>
    <w:rsid w:val="005672E0"/>
    <w:rsid w:val="0056774A"/>
    <w:rsid w:val="005727F7"/>
    <w:rsid w:val="00573A8B"/>
    <w:rsid w:val="00577849"/>
    <w:rsid w:val="00580448"/>
    <w:rsid w:val="0059157C"/>
    <w:rsid w:val="005926F2"/>
    <w:rsid w:val="00593AEF"/>
    <w:rsid w:val="005A6863"/>
    <w:rsid w:val="005B13FB"/>
    <w:rsid w:val="005B33D1"/>
    <w:rsid w:val="005C2BBE"/>
    <w:rsid w:val="005D1BD2"/>
    <w:rsid w:val="005D1F25"/>
    <w:rsid w:val="005D4CA5"/>
    <w:rsid w:val="005D7F42"/>
    <w:rsid w:val="005F1DFB"/>
    <w:rsid w:val="006007B2"/>
    <w:rsid w:val="006068D8"/>
    <w:rsid w:val="00607BED"/>
    <w:rsid w:val="00614B85"/>
    <w:rsid w:val="006158C3"/>
    <w:rsid w:val="0061654D"/>
    <w:rsid w:val="00617BD2"/>
    <w:rsid w:val="0063245A"/>
    <w:rsid w:val="00636089"/>
    <w:rsid w:val="006414A0"/>
    <w:rsid w:val="0064675B"/>
    <w:rsid w:val="00650C52"/>
    <w:rsid w:val="0065331F"/>
    <w:rsid w:val="00654F56"/>
    <w:rsid w:val="00665683"/>
    <w:rsid w:val="00672155"/>
    <w:rsid w:val="0068020E"/>
    <w:rsid w:val="00683327"/>
    <w:rsid w:val="006851DC"/>
    <w:rsid w:val="00691C00"/>
    <w:rsid w:val="00695F70"/>
    <w:rsid w:val="006A1583"/>
    <w:rsid w:val="006A4856"/>
    <w:rsid w:val="006A605D"/>
    <w:rsid w:val="006A6391"/>
    <w:rsid w:val="006B13A4"/>
    <w:rsid w:val="006B1404"/>
    <w:rsid w:val="006B31D5"/>
    <w:rsid w:val="006C3473"/>
    <w:rsid w:val="006C39C2"/>
    <w:rsid w:val="006C3AA9"/>
    <w:rsid w:val="006D2C60"/>
    <w:rsid w:val="006D50C0"/>
    <w:rsid w:val="006D6CB7"/>
    <w:rsid w:val="006D78C0"/>
    <w:rsid w:val="006E1EEB"/>
    <w:rsid w:val="006E453D"/>
    <w:rsid w:val="006E469C"/>
    <w:rsid w:val="006E478B"/>
    <w:rsid w:val="006F5E74"/>
    <w:rsid w:val="007028AF"/>
    <w:rsid w:val="0071429C"/>
    <w:rsid w:val="00730739"/>
    <w:rsid w:val="00733C1A"/>
    <w:rsid w:val="00744CD3"/>
    <w:rsid w:val="00746B08"/>
    <w:rsid w:val="00755D00"/>
    <w:rsid w:val="007611B2"/>
    <w:rsid w:val="0076574E"/>
    <w:rsid w:val="007706E7"/>
    <w:rsid w:val="007825B0"/>
    <w:rsid w:val="00786193"/>
    <w:rsid w:val="00787C1D"/>
    <w:rsid w:val="00787CE3"/>
    <w:rsid w:val="007A0250"/>
    <w:rsid w:val="007A042A"/>
    <w:rsid w:val="007A60DB"/>
    <w:rsid w:val="007A7E13"/>
    <w:rsid w:val="007B74AD"/>
    <w:rsid w:val="007C0451"/>
    <w:rsid w:val="007C7F91"/>
    <w:rsid w:val="007D286E"/>
    <w:rsid w:val="007E0F9E"/>
    <w:rsid w:val="007F1B5E"/>
    <w:rsid w:val="007F61B8"/>
    <w:rsid w:val="0080433E"/>
    <w:rsid w:val="008079FE"/>
    <w:rsid w:val="0081446D"/>
    <w:rsid w:val="00817C91"/>
    <w:rsid w:val="00820358"/>
    <w:rsid w:val="00826197"/>
    <w:rsid w:val="008418D4"/>
    <w:rsid w:val="00843337"/>
    <w:rsid w:val="008435D9"/>
    <w:rsid w:val="00852E20"/>
    <w:rsid w:val="008546F8"/>
    <w:rsid w:val="00854BF2"/>
    <w:rsid w:val="00855006"/>
    <w:rsid w:val="00865889"/>
    <w:rsid w:val="00880082"/>
    <w:rsid w:val="008835B2"/>
    <w:rsid w:val="00885ACA"/>
    <w:rsid w:val="00886DC3"/>
    <w:rsid w:val="00886EFB"/>
    <w:rsid w:val="0088725C"/>
    <w:rsid w:val="0089260B"/>
    <w:rsid w:val="008A3391"/>
    <w:rsid w:val="008A6648"/>
    <w:rsid w:val="008C4766"/>
    <w:rsid w:val="008C6548"/>
    <w:rsid w:val="008D20F5"/>
    <w:rsid w:val="008D6E19"/>
    <w:rsid w:val="008E017E"/>
    <w:rsid w:val="008E0FA0"/>
    <w:rsid w:val="008E1332"/>
    <w:rsid w:val="008E3929"/>
    <w:rsid w:val="008F0FC4"/>
    <w:rsid w:val="008F32B9"/>
    <w:rsid w:val="008F3D1E"/>
    <w:rsid w:val="008F793F"/>
    <w:rsid w:val="009041B8"/>
    <w:rsid w:val="009048DB"/>
    <w:rsid w:val="00912D0C"/>
    <w:rsid w:val="00913524"/>
    <w:rsid w:val="00915B13"/>
    <w:rsid w:val="009176B7"/>
    <w:rsid w:val="00921D12"/>
    <w:rsid w:val="00924671"/>
    <w:rsid w:val="00925EA6"/>
    <w:rsid w:val="009273DA"/>
    <w:rsid w:val="009352FB"/>
    <w:rsid w:val="0094368C"/>
    <w:rsid w:val="009468F1"/>
    <w:rsid w:val="00960FA5"/>
    <w:rsid w:val="009625F2"/>
    <w:rsid w:val="00962D36"/>
    <w:rsid w:val="00963642"/>
    <w:rsid w:val="00973479"/>
    <w:rsid w:val="0099352D"/>
    <w:rsid w:val="0099467D"/>
    <w:rsid w:val="009947F3"/>
    <w:rsid w:val="009A0D85"/>
    <w:rsid w:val="009A347C"/>
    <w:rsid w:val="009B0BBA"/>
    <w:rsid w:val="009C235D"/>
    <w:rsid w:val="009C2BB8"/>
    <w:rsid w:val="009E5C9A"/>
    <w:rsid w:val="009F3248"/>
    <w:rsid w:val="009F3EB2"/>
    <w:rsid w:val="009F4216"/>
    <w:rsid w:val="009F4A26"/>
    <w:rsid w:val="00A04F2C"/>
    <w:rsid w:val="00A05750"/>
    <w:rsid w:val="00A220BC"/>
    <w:rsid w:val="00A22680"/>
    <w:rsid w:val="00A25662"/>
    <w:rsid w:val="00A25DEE"/>
    <w:rsid w:val="00A336A0"/>
    <w:rsid w:val="00A374F1"/>
    <w:rsid w:val="00A375BB"/>
    <w:rsid w:val="00A469AD"/>
    <w:rsid w:val="00A506DB"/>
    <w:rsid w:val="00A50FE0"/>
    <w:rsid w:val="00A5201D"/>
    <w:rsid w:val="00A535F1"/>
    <w:rsid w:val="00A53A9E"/>
    <w:rsid w:val="00A547F9"/>
    <w:rsid w:val="00A54DEB"/>
    <w:rsid w:val="00A5675F"/>
    <w:rsid w:val="00A56D45"/>
    <w:rsid w:val="00A61045"/>
    <w:rsid w:val="00A62EC1"/>
    <w:rsid w:val="00A63797"/>
    <w:rsid w:val="00A771F3"/>
    <w:rsid w:val="00A77260"/>
    <w:rsid w:val="00A82EA3"/>
    <w:rsid w:val="00A856FB"/>
    <w:rsid w:val="00A90F89"/>
    <w:rsid w:val="00A90FA5"/>
    <w:rsid w:val="00A914D0"/>
    <w:rsid w:val="00A94085"/>
    <w:rsid w:val="00AA1E82"/>
    <w:rsid w:val="00AA3CA7"/>
    <w:rsid w:val="00AA679C"/>
    <w:rsid w:val="00AA7B3C"/>
    <w:rsid w:val="00AA7EF4"/>
    <w:rsid w:val="00AB60B0"/>
    <w:rsid w:val="00AC2A69"/>
    <w:rsid w:val="00AC3778"/>
    <w:rsid w:val="00AC4ADE"/>
    <w:rsid w:val="00AC4F63"/>
    <w:rsid w:val="00AD5857"/>
    <w:rsid w:val="00AE70EF"/>
    <w:rsid w:val="00AF2880"/>
    <w:rsid w:val="00AF2BF3"/>
    <w:rsid w:val="00AF2C9D"/>
    <w:rsid w:val="00AF346B"/>
    <w:rsid w:val="00AF3A84"/>
    <w:rsid w:val="00AF3DC9"/>
    <w:rsid w:val="00AF46E5"/>
    <w:rsid w:val="00AF6892"/>
    <w:rsid w:val="00AF7901"/>
    <w:rsid w:val="00B11901"/>
    <w:rsid w:val="00B27FCF"/>
    <w:rsid w:val="00B30B50"/>
    <w:rsid w:val="00B34EFF"/>
    <w:rsid w:val="00B41887"/>
    <w:rsid w:val="00B449C6"/>
    <w:rsid w:val="00B50804"/>
    <w:rsid w:val="00B744CC"/>
    <w:rsid w:val="00B85132"/>
    <w:rsid w:val="00B90DAE"/>
    <w:rsid w:val="00B9402B"/>
    <w:rsid w:val="00BA59E6"/>
    <w:rsid w:val="00BA672C"/>
    <w:rsid w:val="00BB00EF"/>
    <w:rsid w:val="00BB7BC9"/>
    <w:rsid w:val="00BC3573"/>
    <w:rsid w:val="00BC4CBD"/>
    <w:rsid w:val="00BC728E"/>
    <w:rsid w:val="00BD5CA9"/>
    <w:rsid w:val="00BD703A"/>
    <w:rsid w:val="00BF3D97"/>
    <w:rsid w:val="00C06A10"/>
    <w:rsid w:val="00C1014F"/>
    <w:rsid w:val="00C208E4"/>
    <w:rsid w:val="00C324B2"/>
    <w:rsid w:val="00C418C2"/>
    <w:rsid w:val="00C5100C"/>
    <w:rsid w:val="00C57C1C"/>
    <w:rsid w:val="00C635F2"/>
    <w:rsid w:val="00C65475"/>
    <w:rsid w:val="00C66742"/>
    <w:rsid w:val="00C7157B"/>
    <w:rsid w:val="00C7733C"/>
    <w:rsid w:val="00C801E1"/>
    <w:rsid w:val="00C84623"/>
    <w:rsid w:val="00C91530"/>
    <w:rsid w:val="00C92798"/>
    <w:rsid w:val="00CA7979"/>
    <w:rsid w:val="00CB2BDA"/>
    <w:rsid w:val="00CB3A64"/>
    <w:rsid w:val="00CB5AF0"/>
    <w:rsid w:val="00CB6996"/>
    <w:rsid w:val="00CB6FEF"/>
    <w:rsid w:val="00CC08EB"/>
    <w:rsid w:val="00CC4E2F"/>
    <w:rsid w:val="00CC7A54"/>
    <w:rsid w:val="00CD4185"/>
    <w:rsid w:val="00CD4C95"/>
    <w:rsid w:val="00CD6592"/>
    <w:rsid w:val="00CD710A"/>
    <w:rsid w:val="00CE338B"/>
    <w:rsid w:val="00CF3EF9"/>
    <w:rsid w:val="00CF42DC"/>
    <w:rsid w:val="00CF76D7"/>
    <w:rsid w:val="00D079E8"/>
    <w:rsid w:val="00D15690"/>
    <w:rsid w:val="00D172B1"/>
    <w:rsid w:val="00D22081"/>
    <w:rsid w:val="00D26DAE"/>
    <w:rsid w:val="00D27C2B"/>
    <w:rsid w:val="00D30AC7"/>
    <w:rsid w:val="00D31DE7"/>
    <w:rsid w:val="00D3230A"/>
    <w:rsid w:val="00D366CE"/>
    <w:rsid w:val="00D417CC"/>
    <w:rsid w:val="00D41911"/>
    <w:rsid w:val="00D4238C"/>
    <w:rsid w:val="00D43514"/>
    <w:rsid w:val="00D46BFA"/>
    <w:rsid w:val="00D51F88"/>
    <w:rsid w:val="00D53FDB"/>
    <w:rsid w:val="00D571DA"/>
    <w:rsid w:val="00D60274"/>
    <w:rsid w:val="00D63B22"/>
    <w:rsid w:val="00D64634"/>
    <w:rsid w:val="00D70228"/>
    <w:rsid w:val="00D74BBC"/>
    <w:rsid w:val="00D7712E"/>
    <w:rsid w:val="00D77188"/>
    <w:rsid w:val="00D87147"/>
    <w:rsid w:val="00D934F1"/>
    <w:rsid w:val="00D93D75"/>
    <w:rsid w:val="00D967AD"/>
    <w:rsid w:val="00DA7338"/>
    <w:rsid w:val="00DB1A9D"/>
    <w:rsid w:val="00DC1A6C"/>
    <w:rsid w:val="00DC1D8C"/>
    <w:rsid w:val="00DC2049"/>
    <w:rsid w:val="00DD140D"/>
    <w:rsid w:val="00DD16D0"/>
    <w:rsid w:val="00DD51C3"/>
    <w:rsid w:val="00DD6279"/>
    <w:rsid w:val="00DD7446"/>
    <w:rsid w:val="00DE04F3"/>
    <w:rsid w:val="00DE0CD7"/>
    <w:rsid w:val="00DE7660"/>
    <w:rsid w:val="00DF391B"/>
    <w:rsid w:val="00DF7AD2"/>
    <w:rsid w:val="00E0378A"/>
    <w:rsid w:val="00E04CA2"/>
    <w:rsid w:val="00E0506E"/>
    <w:rsid w:val="00E12324"/>
    <w:rsid w:val="00E1322F"/>
    <w:rsid w:val="00E21A00"/>
    <w:rsid w:val="00E21F59"/>
    <w:rsid w:val="00E23824"/>
    <w:rsid w:val="00E26B57"/>
    <w:rsid w:val="00E42B59"/>
    <w:rsid w:val="00E444F6"/>
    <w:rsid w:val="00E524DE"/>
    <w:rsid w:val="00E575D1"/>
    <w:rsid w:val="00E7122D"/>
    <w:rsid w:val="00E7126E"/>
    <w:rsid w:val="00E7201E"/>
    <w:rsid w:val="00E927F4"/>
    <w:rsid w:val="00E970A5"/>
    <w:rsid w:val="00EA36E6"/>
    <w:rsid w:val="00EA5A37"/>
    <w:rsid w:val="00EA6D5D"/>
    <w:rsid w:val="00EB053C"/>
    <w:rsid w:val="00EB32A1"/>
    <w:rsid w:val="00EB3EA6"/>
    <w:rsid w:val="00EC6129"/>
    <w:rsid w:val="00EC76FB"/>
    <w:rsid w:val="00ED1ED4"/>
    <w:rsid w:val="00ED5F14"/>
    <w:rsid w:val="00ED7F16"/>
    <w:rsid w:val="00EE4998"/>
    <w:rsid w:val="00F01EEE"/>
    <w:rsid w:val="00F026D2"/>
    <w:rsid w:val="00F041AF"/>
    <w:rsid w:val="00F04931"/>
    <w:rsid w:val="00F17D9B"/>
    <w:rsid w:val="00F21E94"/>
    <w:rsid w:val="00F2260E"/>
    <w:rsid w:val="00F25DFD"/>
    <w:rsid w:val="00F274BD"/>
    <w:rsid w:val="00F3325F"/>
    <w:rsid w:val="00F3707E"/>
    <w:rsid w:val="00F43DC5"/>
    <w:rsid w:val="00F47035"/>
    <w:rsid w:val="00F505BF"/>
    <w:rsid w:val="00F51A2E"/>
    <w:rsid w:val="00F56507"/>
    <w:rsid w:val="00F56EFF"/>
    <w:rsid w:val="00F63479"/>
    <w:rsid w:val="00F6358B"/>
    <w:rsid w:val="00F66BAD"/>
    <w:rsid w:val="00F727E2"/>
    <w:rsid w:val="00F72879"/>
    <w:rsid w:val="00F77B1F"/>
    <w:rsid w:val="00F83B91"/>
    <w:rsid w:val="00F84F64"/>
    <w:rsid w:val="00F93C3A"/>
    <w:rsid w:val="00F964EE"/>
    <w:rsid w:val="00FA1819"/>
    <w:rsid w:val="00FB21DC"/>
    <w:rsid w:val="00FC0F2D"/>
    <w:rsid w:val="00FC5AE6"/>
    <w:rsid w:val="00FC6842"/>
    <w:rsid w:val="00FE2218"/>
    <w:rsid w:val="00FE3EBB"/>
    <w:rsid w:val="00FE54CE"/>
    <w:rsid w:val="00FE737F"/>
    <w:rsid w:val="00F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3ABC"/>
  <w15:chartTrackingRefBased/>
  <w15:docId w15:val="{BC89728E-424A-4ABA-AC1D-34417F9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link w:val="Heading2Char"/>
    <w:autoRedefine/>
    <w:qFormat/>
    <w:rsid w:val="00A90F89"/>
    <w:pPr>
      <w:keepNext/>
      <w:widowControl/>
      <w:numPr>
        <w:numId w:val="39"/>
      </w:numPr>
      <w:spacing w:before="240" w:after="120"/>
      <w:jc w:val="both"/>
      <w:outlineLvl w:val="1"/>
    </w:pPr>
    <w:rPr>
      <w:b/>
      <w:sz w:val="22"/>
      <w:szCs w:val="22"/>
      <w:lang w:val="en-GB"/>
    </w:rPr>
  </w:style>
  <w:style w:type="paragraph" w:styleId="Heading3">
    <w:name w:val="heading 3"/>
    <w:basedOn w:val="Normal"/>
    <w:next w:val="Normal"/>
    <w:link w:val="Heading3Char"/>
    <w:qFormat/>
    <w:rsid w:val="00A90F89"/>
    <w:pPr>
      <w:widowControl/>
      <w:numPr>
        <w:ilvl w:val="1"/>
        <w:numId w:val="39"/>
      </w:numPr>
      <w:spacing w:before="240" w:after="120"/>
      <w:jc w:val="both"/>
      <w:outlineLvl w:val="2"/>
    </w:pPr>
    <w:rPr>
      <w:snapToGrid/>
      <w:sz w:val="22"/>
      <w:szCs w:val="22"/>
      <w:lang w:val="en-GB"/>
    </w:rPr>
  </w:style>
  <w:style w:type="paragraph" w:styleId="Heading4">
    <w:name w:val="heading 4"/>
    <w:basedOn w:val="Normal"/>
    <w:next w:val="Normal"/>
    <w:link w:val="Heading4Char"/>
    <w:autoRedefine/>
    <w:qFormat/>
    <w:rsid w:val="0064675B"/>
    <w:pPr>
      <w:widowControl/>
      <w:spacing w:before="120" w:after="120"/>
      <w:ind w:left="1440"/>
      <w:jc w:val="both"/>
      <w:outlineLvl w:val="3"/>
    </w:pPr>
    <w:rPr>
      <w:sz w:val="22"/>
      <w:szCs w:val="22"/>
      <w:lang w:val="en-GB"/>
    </w:rPr>
  </w:style>
  <w:style w:type="paragraph" w:styleId="Heading5">
    <w:name w:val="heading 5"/>
    <w:basedOn w:val="Normal"/>
    <w:next w:val="Normal"/>
    <w:link w:val="Heading5Char"/>
    <w:qFormat/>
    <w:rsid w:val="00A90F89"/>
    <w:pPr>
      <w:widowControl/>
      <w:numPr>
        <w:ilvl w:val="3"/>
        <w:numId w:val="39"/>
      </w:numPr>
      <w:spacing w:before="240" w:after="120"/>
      <w:jc w:val="both"/>
      <w:outlineLvl w:val="4"/>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564E88"/>
    <w:pPr>
      <w:tabs>
        <w:tab w:val="center" w:pos="4536"/>
        <w:tab w:val="right" w:pos="9072"/>
      </w:tabs>
    </w:pPr>
  </w:style>
  <w:style w:type="paragraph" w:styleId="Footer">
    <w:name w:val="footer"/>
    <w:basedOn w:val="Normal"/>
    <w:rsid w:val="00564E88"/>
    <w:pPr>
      <w:tabs>
        <w:tab w:val="center" w:pos="4536"/>
        <w:tab w:val="right" w:pos="9072"/>
      </w:tabs>
    </w:pPr>
  </w:style>
  <w:style w:type="character" w:styleId="PageNumber">
    <w:name w:val="page number"/>
    <w:basedOn w:val="DefaultParagraphFont"/>
    <w:rsid w:val="00AA679C"/>
  </w:style>
  <w:style w:type="paragraph" w:styleId="BalloonText">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FootnoteText">
    <w:name w:val="footnote text"/>
    <w:basedOn w:val="Normal"/>
    <w:link w:val="FootnoteTextChar"/>
    <w:rsid w:val="000E3C60"/>
    <w:rPr>
      <w:sz w:val="20"/>
    </w:rPr>
  </w:style>
  <w:style w:type="character" w:customStyle="1" w:styleId="FootnoteTextChar">
    <w:name w:val="Footnote Text Char"/>
    <w:link w:val="FootnoteText"/>
    <w:rsid w:val="000E3C60"/>
    <w:rPr>
      <w:snapToGrid w:val="0"/>
      <w:lang w:val="en-US" w:eastAsia="en-US"/>
    </w:rPr>
  </w:style>
  <w:style w:type="character" w:styleId="FootnoteReference">
    <w:name w:val="footnote reference"/>
    <w:rsid w:val="000E3C60"/>
    <w:rPr>
      <w:vertAlign w:val="superscript"/>
    </w:rPr>
  </w:style>
  <w:style w:type="character" w:styleId="CommentReference">
    <w:name w:val="annotation reference"/>
    <w:uiPriority w:val="99"/>
    <w:rsid w:val="00CD6592"/>
    <w:rPr>
      <w:sz w:val="16"/>
      <w:szCs w:val="16"/>
    </w:rPr>
  </w:style>
  <w:style w:type="paragraph" w:styleId="CommentText">
    <w:name w:val="annotation text"/>
    <w:basedOn w:val="Normal"/>
    <w:link w:val="CommentTextChar"/>
    <w:rsid w:val="00CD6592"/>
    <w:rPr>
      <w:sz w:val="20"/>
    </w:rPr>
  </w:style>
  <w:style w:type="character" w:customStyle="1" w:styleId="CommentTextChar">
    <w:name w:val="Comment Text Char"/>
    <w:link w:val="CommentText"/>
    <w:rsid w:val="00CD6592"/>
    <w:rPr>
      <w:snapToGrid w:val="0"/>
      <w:lang w:val="en-US" w:eastAsia="en-US"/>
    </w:rPr>
  </w:style>
  <w:style w:type="paragraph" w:styleId="CommentSubject">
    <w:name w:val="annotation subject"/>
    <w:basedOn w:val="CommentText"/>
    <w:next w:val="CommentText"/>
    <w:link w:val="CommentSubjectChar"/>
    <w:rsid w:val="00CD6592"/>
    <w:rPr>
      <w:b/>
      <w:bCs/>
    </w:rPr>
  </w:style>
  <w:style w:type="character" w:customStyle="1" w:styleId="CommentSubjectChar">
    <w:name w:val="Comment Subject Char"/>
    <w:link w:val="CommentSubject"/>
    <w:rsid w:val="00CD6592"/>
    <w:rPr>
      <w:b/>
      <w:bCs/>
      <w:snapToGrid w:val="0"/>
      <w:lang w:val="en-US" w:eastAsia="en-US"/>
    </w:rPr>
  </w:style>
  <w:style w:type="paragraph" w:customStyle="1" w:styleId="Text1">
    <w:name w:val="Text 1"/>
    <w:basedOn w:val="Normal"/>
    <w:rsid w:val="0080433E"/>
    <w:pPr>
      <w:widowControl/>
      <w:spacing w:before="120" w:after="120"/>
      <w:ind w:left="850"/>
      <w:jc w:val="both"/>
    </w:pPr>
    <w:rPr>
      <w:rFonts w:eastAsia="Calibri"/>
      <w:snapToGrid/>
      <w:szCs w:val="22"/>
      <w:lang w:val="en-GB"/>
    </w:rPr>
  </w:style>
  <w:style w:type="paragraph" w:customStyle="1" w:styleId="Text2">
    <w:name w:val="Text 2"/>
    <w:basedOn w:val="Normal"/>
    <w:rsid w:val="0080433E"/>
    <w:pPr>
      <w:widowControl/>
      <w:spacing w:before="120" w:after="120"/>
      <w:ind w:left="1417"/>
      <w:jc w:val="both"/>
    </w:pPr>
    <w:rPr>
      <w:rFonts w:eastAsia="Calibri"/>
      <w:snapToGrid/>
      <w:szCs w:val="22"/>
      <w:lang w:val="en-GB"/>
    </w:rPr>
  </w:style>
  <w:style w:type="paragraph" w:styleId="BodyTextIndent">
    <w:name w:val="Body Text Indent"/>
    <w:basedOn w:val="Normal"/>
    <w:link w:val="BodyTextIndentChar"/>
    <w:rsid w:val="00A90F89"/>
    <w:pPr>
      <w:widowControl/>
      <w:spacing w:before="0" w:after="120"/>
      <w:ind w:left="567"/>
      <w:jc w:val="both"/>
    </w:pPr>
    <w:rPr>
      <w:sz w:val="22"/>
      <w:lang w:val="en-GB"/>
    </w:rPr>
  </w:style>
  <w:style w:type="character" w:customStyle="1" w:styleId="BodyTextIndentChar">
    <w:name w:val="Body Text Indent Char"/>
    <w:link w:val="BodyTextIndent"/>
    <w:rsid w:val="00A90F89"/>
    <w:rPr>
      <w:snapToGrid w:val="0"/>
      <w:sz w:val="22"/>
      <w:lang w:eastAsia="en-US"/>
    </w:rPr>
  </w:style>
  <w:style w:type="character" w:customStyle="1" w:styleId="Heading2Char">
    <w:name w:val="Heading 2 Char"/>
    <w:link w:val="Heading2"/>
    <w:rsid w:val="00A90F89"/>
    <w:rPr>
      <w:b/>
      <w:snapToGrid w:val="0"/>
      <w:sz w:val="22"/>
      <w:szCs w:val="22"/>
      <w:lang w:eastAsia="en-US"/>
    </w:rPr>
  </w:style>
  <w:style w:type="character" w:customStyle="1" w:styleId="Heading3Char">
    <w:name w:val="Heading 3 Char"/>
    <w:link w:val="Heading3"/>
    <w:rsid w:val="00A90F89"/>
    <w:rPr>
      <w:sz w:val="22"/>
      <w:szCs w:val="22"/>
      <w:lang w:eastAsia="en-US"/>
    </w:rPr>
  </w:style>
  <w:style w:type="character" w:customStyle="1" w:styleId="Heading4Char">
    <w:name w:val="Heading 4 Char"/>
    <w:link w:val="Heading4"/>
    <w:rsid w:val="0064675B"/>
    <w:rPr>
      <w:snapToGrid w:val="0"/>
      <w:sz w:val="22"/>
      <w:szCs w:val="22"/>
      <w:lang w:eastAsia="en-US"/>
    </w:rPr>
  </w:style>
  <w:style w:type="character" w:customStyle="1" w:styleId="Heading5Char">
    <w:name w:val="Heading 5 Char"/>
    <w:link w:val="Heading5"/>
    <w:rsid w:val="00A90F89"/>
    <w:rPr>
      <w:snapToGrid w:val="0"/>
      <w:sz w:val="22"/>
      <w:szCs w:val="22"/>
      <w:lang w:eastAsia="en-US"/>
    </w:rPr>
  </w:style>
  <w:style w:type="table" w:styleId="TableGrid">
    <w:name w:val="Table Grid"/>
    <w:basedOn w:val="TableNormal"/>
    <w:rsid w:val="001F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571DA"/>
    <w:rPr>
      <w:color w:val="808080"/>
      <w:shd w:val="clear" w:color="auto" w:fill="E6E6E6"/>
    </w:rPr>
  </w:style>
  <w:style w:type="paragraph" w:customStyle="1" w:styleId="t-9-8">
    <w:name w:val="t-9-8"/>
    <w:basedOn w:val="Normal"/>
    <w:rsid w:val="004B3E82"/>
    <w:pPr>
      <w:widowControl/>
      <w:spacing w:beforeAutospacing="1" w:afterAutospacing="1"/>
    </w:pPr>
    <w:rPr>
      <w:snapToGrid/>
      <w:szCs w:val="24"/>
      <w:lang w:val="hr-HR" w:eastAsia="hr-HR"/>
    </w:rPr>
  </w:style>
  <w:style w:type="paragraph" w:styleId="ListParagraph">
    <w:name w:val="List Paragraph"/>
    <w:basedOn w:val="Normal"/>
    <w:uiPriority w:val="34"/>
    <w:qFormat/>
    <w:rsid w:val="00304115"/>
    <w:pPr>
      <w:widowControl/>
      <w:spacing w:before="0" w:after="200" w:line="276" w:lineRule="auto"/>
      <w:ind w:left="720"/>
      <w:contextualSpacing/>
    </w:pPr>
    <w:rPr>
      <w:rFonts w:ascii="Calibri" w:eastAsia="Calibri" w:hAnsi="Calibri"/>
      <w:snapToGrid/>
      <w:sz w:val="22"/>
      <w:szCs w:val="22"/>
    </w:rPr>
  </w:style>
  <w:style w:type="table" w:styleId="MediumShading1-Accent5">
    <w:name w:val="Medium Shading 1 Accent 5"/>
    <w:basedOn w:val="TableNormal"/>
    <w:uiPriority w:val="63"/>
    <w:rsid w:val="00304115"/>
    <w:rPr>
      <w:rFonts w:ascii="Calibri" w:eastAsia="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doc-ti">
    <w:name w:val="doc-ti"/>
    <w:basedOn w:val="Normal"/>
    <w:rsid w:val="000F23E5"/>
    <w:pPr>
      <w:widowControl/>
      <w:spacing w:beforeAutospacing="1" w:afterAutospacing="1"/>
    </w:pPr>
    <w:rPr>
      <w:snapToGrid/>
      <w:szCs w:val="24"/>
      <w:lang w:val="hr-HR" w:eastAsia="hr-HR"/>
    </w:rPr>
  </w:style>
  <w:style w:type="paragraph" w:customStyle="1" w:styleId="Default">
    <w:name w:val="Default"/>
    <w:rsid w:val="000F23E5"/>
    <w:pPr>
      <w:autoSpaceDE w:val="0"/>
      <w:autoSpaceDN w:val="0"/>
      <w:adjustRightInd w:val="0"/>
    </w:pPr>
    <w:rPr>
      <w:rFonts w:ascii="Calibri" w:hAnsi="Calibri" w:cs="Calibri"/>
      <w:color w:val="000000"/>
      <w:sz w:val="24"/>
      <w:szCs w:val="24"/>
      <w:lang w:val="hr-HR" w:eastAsia="hr-HR"/>
    </w:rPr>
  </w:style>
  <w:style w:type="character" w:styleId="UnresolvedMention">
    <w:name w:val="Unresolved Mention"/>
    <w:basedOn w:val="DefaultParagraphFont"/>
    <w:uiPriority w:val="99"/>
    <w:semiHidden/>
    <w:unhideWhenUsed/>
    <w:rsid w:val="0089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1543">
      <w:bodyDiv w:val="1"/>
      <w:marLeft w:val="0"/>
      <w:marRight w:val="0"/>
      <w:marTop w:val="0"/>
      <w:marBottom w:val="0"/>
      <w:divBdr>
        <w:top w:val="none" w:sz="0" w:space="0" w:color="auto"/>
        <w:left w:val="none" w:sz="0" w:space="0" w:color="auto"/>
        <w:bottom w:val="none" w:sz="0" w:space="0" w:color="auto"/>
        <w:right w:val="none" w:sz="0" w:space="0" w:color="auto"/>
      </w:divBdr>
    </w:div>
    <w:div w:id="351805639">
      <w:bodyDiv w:val="1"/>
      <w:marLeft w:val="0"/>
      <w:marRight w:val="0"/>
      <w:marTop w:val="0"/>
      <w:marBottom w:val="0"/>
      <w:divBdr>
        <w:top w:val="none" w:sz="0" w:space="0" w:color="auto"/>
        <w:left w:val="none" w:sz="0" w:space="0" w:color="auto"/>
        <w:bottom w:val="none" w:sz="0" w:space="0" w:color="auto"/>
        <w:right w:val="none" w:sz="0" w:space="0" w:color="auto"/>
      </w:divBdr>
    </w:div>
    <w:div w:id="370421146">
      <w:bodyDiv w:val="1"/>
      <w:marLeft w:val="0"/>
      <w:marRight w:val="0"/>
      <w:marTop w:val="0"/>
      <w:marBottom w:val="0"/>
      <w:divBdr>
        <w:top w:val="none" w:sz="0" w:space="0" w:color="auto"/>
        <w:left w:val="none" w:sz="0" w:space="0" w:color="auto"/>
        <w:bottom w:val="none" w:sz="0" w:space="0" w:color="auto"/>
        <w:right w:val="none" w:sz="0" w:space="0" w:color="auto"/>
      </w:divBdr>
    </w:div>
    <w:div w:id="649285996">
      <w:bodyDiv w:val="1"/>
      <w:marLeft w:val="0"/>
      <w:marRight w:val="0"/>
      <w:marTop w:val="0"/>
      <w:marBottom w:val="0"/>
      <w:divBdr>
        <w:top w:val="none" w:sz="0" w:space="0" w:color="auto"/>
        <w:left w:val="none" w:sz="0" w:space="0" w:color="auto"/>
        <w:bottom w:val="none" w:sz="0" w:space="0" w:color="auto"/>
        <w:right w:val="none" w:sz="0" w:space="0" w:color="auto"/>
      </w:divBdr>
    </w:div>
    <w:div w:id="655841498">
      <w:bodyDiv w:val="1"/>
      <w:marLeft w:val="0"/>
      <w:marRight w:val="0"/>
      <w:marTop w:val="0"/>
      <w:marBottom w:val="0"/>
      <w:divBdr>
        <w:top w:val="none" w:sz="0" w:space="0" w:color="auto"/>
        <w:left w:val="none" w:sz="0" w:space="0" w:color="auto"/>
        <w:bottom w:val="none" w:sz="0" w:space="0" w:color="auto"/>
        <w:right w:val="none" w:sz="0" w:space="0" w:color="auto"/>
      </w:divBdr>
    </w:div>
    <w:div w:id="819813718">
      <w:bodyDiv w:val="1"/>
      <w:marLeft w:val="0"/>
      <w:marRight w:val="0"/>
      <w:marTop w:val="0"/>
      <w:marBottom w:val="0"/>
      <w:divBdr>
        <w:top w:val="none" w:sz="0" w:space="0" w:color="auto"/>
        <w:left w:val="none" w:sz="0" w:space="0" w:color="auto"/>
        <w:bottom w:val="none" w:sz="0" w:space="0" w:color="auto"/>
        <w:right w:val="none" w:sz="0" w:space="0" w:color="auto"/>
      </w:divBdr>
    </w:div>
    <w:div w:id="904149348">
      <w:bodyDiv w:val="1"/>
      <w:marLeft w:val="0"/>
      <w:marRight w:val="0"/>
      <w:marTop w:val="0"/>
      <w:marBottom w:val="0"/>
      <w:divBdr>
        <w:top w:val="none" w:sz="0" w:space="0" w:color="auto"/>
        <w:left w:val="none" w:sz="0" w:space="0" w:color="auto"/>
        <w:bottom w:val="none" w:sz="0" w:space="0" w:color="auto"/>
        <w:right w:val="none" w:sz="0" w:space="0" w:color="auto"/>
      </w:divBdr>
    </w:div>
    <w:div w:id="957297326">
      <w:bodyDiv w:val="1"/>
      <w:marLeft w:val="0"/>
      <w:marRight w:val="0"/>
      <w:marTop w:val="0"/>
      <w:marBottom w:val="0"/>
      <w:divBdr>
        <w:top w:val="none" w:sz="0" w:space="0" w:color="auto"/>
        <w:left w:val="none" w:sz="0" w:space="0" w:color="auto"/>
        <w:bottom w:val="none" w:sz="0" w:space="0" w:color="auto"/>
        <w:right w:val="none" w:sz="0" w:space="0" w:color="auto"/>
      </w:divBdr>
    </w:div>
    <w:div w:id="961350682">
      <w:bodyDiv w:val="1"/>
      <w:marLeft w:val="0"/>
      <w:marRight w:val="0"/>
      <w:marTop w:val="0"/>
      <w:marBottom w:val="0"/>
      <w:divBdr>
        <w:top w:val="none" w:sz="0" w:space="0" w:color="auto"/>
        <w:left w:val="none" w:sz="0" w:space="0" w:color="auto"/>
        <w:bottom w:val="none" w:sz="0" w:space="0" w:color="auto"/>
        <w:right w:val="none" w:sz="0" w:space="0" w:color="auto"/>
      </w:divBdr>
    </w:div>
    <w:div w:id="1116873635">
      <w:bodyDiv w:val="1"/>
      <w:marLeft w:val="0"/>
      <w:marRight w:val="0"/>
      <w:marTop w:val="0"/>
      <w:marBottom w:val="0"/>
      <w:divBdr>
        <w:top w:val="none" w:sz="0" w:space="0" w:color="auto"/>
        <w:left w:val="none" w:sz="0" w:space="0" w:color="auto"/>
        <w:bottom w:val="none" w:sz="0" w:space="0" w:color="auto"/>
        <w:right w:val="none" w:sz="0" w:space="0" w:color="auto"/>
      </w:divBdr>
    </w:div>
    <w:div w:id="1156338358">
      <w:bodyDiv w:val="1"/>
      <w:marLeft w:val="0"/>
      <w:marRight w:val="0"/>
      <w:marTop w:val="0"/>
      <w:marBottom w:val="0"/>
      <w:divBdr>
        <w:top w:val="none" w:sz="0" w:space="0" w:color="auto"/>
        <w:left w:val="none" w:sz="0" w:space="0" w:color="auto"/>
        <w:bottom w:val="none" w:sz="0" w:space="0" w:color="auto"/>
        <w:right w:val="none" w:sz="0" w:space="0" w:color="auto"/>
      </w:divBdr>
    </w:div>
    <w:div w:id="1559780251">
      <w:bodyDiv w:val="1"/>
      <w:marLeft w:val="0"/>
      <w:marRight w:val="0"/>
      <w:marTop w:val="0"/>
      <w:marBottom w:val="0"/>
      <w:divBdr>
        <w:top w:val="none" w:sz="0" w:space="0" w:color="auto"/>
        <w:left w:val="none" w:sz="0" w:space="0" w:color="auto"/>
        <w:bottom w:val="none" w:sz="0" w:space="0" w:color="auto"/>
        <w:right w:val="none" w:sz="0" w:space="0" w:color="auto"/>
      </w:divBdr>
    </w:div>
    <w:div w:id="1562325964">
      <w:bodyDiv w:val="1"/>
      <w:marLeft w:val="0"/>
      <w:marRight w:val="0"/>
      <w:marTop w:val="0"/>
      <w:marBottom w:val="0"/>
      <w:divBdr>
        <w:top w:val="none" w:sz="0" w:space="0" w:color="auto"/>
        <w:left w:val="none" w:sz="0" w:space="0" w:color="auto"/>
        <w:bottom w:val="none" w:sz="0" w:space="0" w:color="auto"/>
        <w:right w:val="none" w:sz="0" w:space="0" w:color="auto"/>
      </w:divBdr>
    </w:div>
    <w:div w:id="1746029738">
      <w:bodyDiv w:val="1"/>
      <w:marLeft w:val="0"/>
      <w:marRight w:val="0"/>
      <w:marTop w:val="0"/>
      <w:marBottom w:val="0"/>
      <w:divBdr>
        <w:top w:val="none" w:sz="0" w:space="0" w:color="auto"/>
        <w:left w:val="none" w:sz="0" w:space="0" w:color="auto"/>
        <w:bottom w:val="none" w:sz="0" w:space="0" w:color="auto"/>
        <w:right w:val="none" w:sz="0" w:space="0" w:color="auto"/>
      </w:divBdr>
    </w:div>
    <w:div w:id="1829248401">
      <w:bodyDiv w:val="1"/>
      <w:marLeft w:val="0"/>
      <w:marRight w:val="0"/>
      <w:marTop w:val="0"/>
      <w:marBottom w:val="0"/>
      <w:divBdr>
        <w:top w:val="none" w:sz="0" w:space="0" w:color="auto"/>
        <w:left w:val="none" w:sz="0" w:space="0" w:color="auto"/>
        <w:bottom w:val="none" w:sz="0" w:space="0" w:color="auto"/>
        <w:right w:val="none" w:sz="0" w:space="0" w:color="auto"/>
      </w:divBdr>
    </w:div>
    <w:div w:id="1917737861">
      <w:bodyDiv w:val="1"/>
      <w:marLeft w:val="0"/>
      <w:marRight w:val="0"/>
      <w:marTop w:val="0"/>
      <w:marBottom w:val="0"/>
      <w:divBdr>
        <w:top w:val="none" w:sz="0" w:space="0" w:color="auto"/>
        <w:left w:val="none" w:sz="0" w:space="0" w:color="auto"/>
        <w:bottom w:val="none" w:sz="0" w:space="0" w:color="auto"/>
        <w:right w:val="none" w:sz="0" w:space="0" w:color="auto"/>
      </w:divBdr>
    </w:div>
    <w:div w:id="21435698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reg-croatia-serbi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zsombor.rs/s-o-o-s/" TargetMode="External"/><Relationship Id="rId4" Type="http://schemas.openxmlformats.org/officeDocument/2006/relationships/settings" Target="settings.xml"/><Relationship Id="rId9" Type="http://schemas.openxmlformats.org/officeDocument/2006/relationships/hyperlink" Target="https://dzsombor.rs/s-o-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D5DE-6AB6-4BE6-8330-CC9FCB5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13402</CharactersWithSpaces>
  <SharedDoc>false</SharedDoc>
  <HLinks>
    <vt:vector size="6" baseType="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dc:description/>
  <cp:lastModifiedBy>PC</cp:lastModifiedBy>
  <cp:revision>48</cp:revision>
  <cp:lastPrinted>2012-09-24T08:29:00Z</cp:lastPrinted>
  <dcterms:created xsi:type="dcterms:W3CDTF">2019-04-14T14:35:00Z</dcterms:created>
  <dcterms:modified xsi:type="dcterms:W3CDTF">2026-03-05T04:42:00Z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